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DAE1" w14:textId="77777777" w:rsidR="00CC4FA4" w:rsidRDefault="00CC4FA4" w:rsidP="00CC4FA4">
      <w:pPr>
        <w:pStyle w:val="Ttulo"/>
        <w:spacing w:line="192" w:lineRule="auto"/>
        <w:ind w:left="0" w:right="15" w:firstLine="0"/>
        <w:jc w:val="center"/>
        <w:rPr>
          <w:rFonts w:ascii="gobCL" w:eastAsia="Tahoma" w:hAnsi="gobCL" w:cs="Arial"/>
          <w:b w:val="0"/>
          <w:spacing w:val="-8"/>
          <w:sz w:val="28"/>
          <w:szCs w:val="28"/>
        </w:rPr>
      </w:pPr>
      <w:r w:rsidRPr="002267E6">
        <w:rPr>
          <w:rFonts w:ascii="gobCL" w:eastAsia="Tahoma" w:hAnsi="gobCL" w:cs="Arial"/>
          <w:b w:val="0"/>
          <w:spacing w:val="-8"/>
          <w:sz w:val="28"/>
          <w:szCs w:val="28"/>
        </w:rPr>
        <w:t>Carta para padres, apoderados y/o tutores sobre Puesta al día de Vacunación</w:t>
      </w:r>
    </w:p>
    <w:p w14:paraId="15FDD9E2" w14:textId="72836377" w:rsidR="00CC4FA4" w:rsidRPr="002267E6" w:rsidRDefault="00CC4FA4" w:rsidP="00CC4FA4">
      <w:pPr>
        <w:pStyle w:val="Ttulo"/>
        <w:spacing w:line="192" w:lineRule="auto"/>
        <w:ind w:left="0" w:right="15" w:firstLine="0"/>
        <w:jc w:val="center"/>
        <w:rPr>
          <w:rFonts w:ascii="gobCL" w:eastAsia="Tahoma" w:hAnsi="gobCL" w:cs="Arial"/>
          <w:b w:val="0"/>
          <w:spacing w:val="-8"/>
          <w:sz w:val="28"/>
          <w:szCs w:val="28"/>
        </w:rPr>
      </w:pPr>
      <w:r w:rsidRPr="002267E6">
        <w:rPr>
          <w:rFonts w:ascii="gobCL" w:eastAsia="Tahoma" w:hAnsi="gobCL" w:cs="Arial"/>
          <w:b w:val="0"/>
          <w:spacing w:val="-8"/>
          <w:sz w:val="28"/>
          <w:szCs w:val="28"/>
        </w:rPr>
        <w:t>contra Sarampión, Rubéola y Parotiditis (SRP) en escolares de 1° y 2º año básico</w:t>
      </w:r>
      <w:r>
        <w:rPr>
          <w:rFonts w:ascii="gobCL" w:eastAsia="Tahoma" w:hAnsi="gobCL" w:cs="Arial"/>
          <w:b w:val="0"/>
          <w:spacing w:val="-8"/>
          <w:sz w:val="28"/>
          <w:szCs w:val="28"/>
        </w:rPr>
        <w:t xml:space="preserve"> </w:t>
      </w:r>
      <w:r w:rsidRPr="002267E6">
        <w:rPr>
          <w:rFonts w:ascii="gobCL" w:eastAsia="Tahoma" w:hAnsi="gobCL" w:cs="Arial"/>
          <w:b w:val="0"/>
          <w:spacing w:val="-8"/>
          <w:sz w:val="28"/>
          <w:szCs w:val="28"/>
        </w:rPr>
        <w:t>2025</w:t>
      </w:r>
    </w:p>
    <w:p w14:paraId="217C1371" w14:textId="77777777" w:rsidR="00CC4FA4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C5B9850" w14:textId="07E9700B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Estimados padres apoderados y/o tutores:</w:t>
      </w:r>
    </w:p>
    <w:p w14:paraId="40EF2395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3134F049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Junto con saludar informo a usted que, durante el segundo semestre de este año 2025, se realiza la puesta al día de los escolares de </w:t>
      </w:r>
      <w:r w:rsidRPr="002267E6">
        <w:rPr>
          <w:rFonts w:ascii="gobCL" w:hAnsi="gobCL" w:cs="Arial"/>
          <w:b/>
          <w:spacing w:val="-8"/>
          <w:sz w:val="22"/>
          <w:szCs w:val="22"/>
        </w:rPr>
        <w:t>1° y 2° básico</w:t>
      </w:r>
      <w:r w:rsidRPr="002267E6">
        <w:rPr>
          <w:rFonts w:ascii="gobCL" w:hAnsi="gobCL" w:cs="Arial"/>
          <w:bCs/>
          <w:spacing w:val="-8"/>
          <w:sz w:val="22"/>
          <w:szCs w:val="22"/>
        </w:rPr>
        <w:t>, que no han iniciado esquema de vacunación contra Sarampión, Rubéola y Parotiditis (SRP) o cuentan con solo 1 dosis de vacuna. La normativa establece que un esquema de vacunación infantil contra Sarampión debe ser de 2 dosis para proteger al escolar de estas enfermedades.</w:t>
      </w:r>
    </w:p>
    <w:p w14:paraId="56F2DC3C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3DF7E115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El Sarampión es una enfermedad aguda producida por el virus sarampión, de la familia </w:t>
      </w:r>
      <w:proofErr w:type="spellStart"/>
      <w:r w:rsidRPr="00CC4FA4">
        <w:rPr>
          <w:rFonts w:ascii="gobCL" w:hAnsi="gobCL" w:cs="Arial"/>
          <w:bCs/>
          <w:i/>
          <w:iCs/>
          <w:spacing w:val="-8"/>
          <w:sz w:val="22"/>
          <w:szCs w:val="22"/>
        </w:rPr>
        <w:t>Paramyxoviridae</w:t>
      </w:r>
      <w:proofErr w:type="spellEnd"/>
      <w:r w:rsidRPr="002267E6">
        <w:rPr>
          <w:rFonts w:ascii="gobCL" w:hAnsi="gobCL" w:cs="Arial"/>
          <w:bCs/>
          <w:spacing w:val="-8"/>
          <w:sz w:val="22"/>
          <w:szCs w:val="22"/>
        </w:rPr>
        <w:t>, que se caracteriza por fiebre, coriza, conjuntivitis, exantema (manchas parduzcas que comienzan en la cara y luego se generalizan) con una duración de 4 a 7 días. Aproximadamente el 30% de los casos presentan algunas complicaciones como otitis, neumonía, laringotraqueobronquitis siendo más comunes en niños pequeños.</w:t>
      </w:r>
    </w:p>
    <w:p w14:paraId="6982C30F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8820DE2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En Chile, la enfermedad fue eliminada en 1992, y a partir de 1993 se han presentado casos aislados, asociados a viajeros que ingresan al país enfermos.</w:t>
      </w:r>
    </w:p>
    <w:p w14:paraId="105B8579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221C3BCA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Desde el 03 de enero de 2022 se modificó la edad de administración de la 2° dosis de vacuna contra SRP, cambiado la vacunación de 1º básico a los 36 meses de edad, con el objetivo de garantizar la protección temprana de la población infantil para disminuir el riesgo de enfermar, requerir hospitalización o eventualmente morir por alguna de estas enfermedades.</w:t>
      </w:r>
    </w:p>
    <w:p w14:paraId="302E7D24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02838FDF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Esta estrategia beneficia a la totalidad de escolares que viven en Chile, es instruida por el Ministerio de Salud y se realiza en todos los establecimientos educacionales públicos y privados del país. Su administración tiene carácter </w:t>
      </w:r>
      <w:r w:rsidRPr="002267E6">
        <w:rPr>
          <w:rFonts w:ascii="gobCL" w:hAnsi="gobCL" w:cs="Arial"/>
          <w:b/>
          <w:spacing w:val="-8"/>
          <w:sz w:val="22"/>
          <w:szCs w:val="22"/>
        </w:rPr>
        <w:t>OBLIGATORIO</w:t>
      </w: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, por lo que </w:t>
      </w:r>
      <w:r w:rsidRPr="002267E6">
        <w:rPr>
          <w:rFonts w:ascii="gobCL" w:hAnsi="gobCL" w:cs="Arial"/>
          <w:b/>
          <w:spacing w:val="-8"/>
          <w:sz w:val="22"/>
          <w:szCs w:val="22"/>
        </w:rPr>
        <w:t>NO REQUIERE</w:t>
      </w: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 autorización por medio de firma de consentimiento informado de los padres y/o apoderados, en conformidad con lo establecido en el artículo 32º del Código Sanitario, el Decreto Exento N°50 del 2021 y sus posteriores modificaciones.  Por lo anterior, se ha dispuesto la vacunación en establecimientos educacionales públicos y privados, de todos los escolares que cursen de 1° y 2° año básico que no hayan iniciado o completado sus esquemas de esta vacuna.</w:t>
      </w:r>
    </w:p>
    <w:p w14:paraId="0C32FD8F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1B361C7D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Las reacciones que se pueden asociar a la vacuna SRP son:</w:t>
      </w:r>
    </w:p>
    <w:p w14:paraId="05EFA119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504016D" w14:textId="77777777" w:rsidR="00CC4FA4" w:rsidRPr="002267E6" w:rsidRDefault="00CC4FA4" w:rsidP="00CC4FA4">
      <w:pPr>
        <w:pStyle w:val="Textoindependiente"/>
        <w:numPr>
          <w:ilvl w:val="0"/>
          <w:numId w:val="6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Erupciones rojas en la piel entre 5 a 12 días, después de ser vacunado</w:t>
      </w:r>
    </w:p>
    <w:p w14:paraId="15B7A3C8" w14:textId="77777777" w:rsidR="00CC4FA4" w:rsidRPr="002267E6" w:rsidRDefault="00CC4FA4" w:rsidP="00CC4FA4">
      <w:pPr>
        <w:pStyle w:val="Textoindependiente"/>
        <w:numPr>
          <w:ilvl w:val="0"/>
          <w:numId w:val="6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Fiebre menor de 39ºC, entre 5 a 12 días después de ser vacunados que persiste por 2 a 3 días</w:t>
      </w:r>
    </w:p>
    <w:p w14:paraId="4112DE1D" w14:textId="77777777" w:rsidR="00CC4FA4" w:rsidRPr="002267E6" w:rsidRDefault="00CC4FA4" w:rsidP="00CC4FA4">
      <w:pPr>
        <w:pStyle w:val="Textoindependiente"/>
        <w:numPr>
          <w:ilvl w:val="0"/>
          <w:numId w:val="6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Inflamación de ganglios</w:t>
      </w:r>
    </w:p>
    <w:p w14:paraId="0BDFC9B1" w14:textId="77777777" w:rsidR="00CC4FA4" w:rsidRPr="002267E6" w:rsidRDefault="00CC4FA4" w:rsidP="00CC4FA4">
      <w:pPr>
        <w:pStyle w:val="Textoindependiente"/>
        <w:numPr>
          <w:ilvl w:val="0"/>
          <w:numId w:val="6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Presencia de mucosidad en nariz y garganta</w:t>
      </w:r>
    </w:p>
    <w:p w14:paraId="234945E6" w14:textId="77777777" w:rsidR="00CC4FA4" w:rsidRPr="002267E6" w:rsidRDefault="00CC4FA4" w:rsidP="00CC4FA4">
      <w:pPr>
        <w:pStyle w:val="Textoindependiente"/>
        <w:numPr>
          <w:ilvl w:val="0"/>
          <w:numId w:val="6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Dolor articular</w:t>
      </w:r>
    </w:p>
    <w:p w14:paraId="41728C38" w14:textId="1ADFCBF0" w:rsidR="00CC4FA4" w:rsidRPr="002267E6" w:rsidRDefault="00CC4FA4" w:rsidP="00CC4FA4">
      <w:pPr>
        <w:pStyle w:val="Textoindependiente"/>
        <w:tabs>
          <w:tab w:val="left" w:pos="8789"/>
        </w:tabs>
        <w:spacing w:before="197"/>
        <w:ind w:right="15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Considerando todos los antecedentes expuestos, le solicitamos que, en caso de que su hijo/a o pupilo/a, presente alguna condición que amerite precauciones especiales o alguna contraindicación para ser vacunado, informe esta situación a través de un certificado médico y de forma oportuna al profesor jefe del curso.</w:t>
      </w:r>
    </w:p>
    <w:p w14:paraId="627A0B58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7F122859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2267E6">
        <w:rPr>
          <w:rFonts w:ascii="gobCL" w:hAnsi="gobCL" w:cs="Arial"/>
          <w:b/>
          <w:spacing w:val="-8"/>
          <w:sz w:val="22"/>
          <w:szCs w:val="22"/>
        </w:rPr>
        <w:t xml:space="preserve">¿Quiénes no deben vacunarse? </w:t>
      </w:r>
    </w:p>
    <w:p w14:paraId="76A2E86C" w14:textId="77777777" w:rsidR="00CC4FA4" w:rsidRPr="002267E6" w:rsidRDefault="00CC4FA4" w:rsidP="00CC4FA4">
      <w:pPr>
        <w:pStyle w:val="Textoindependiente"/>
        <w:numPr>
          <w:ilvl w:val="0"/>
          <w:numId w:val="7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Personas que hayan tenido una reacción alérgica </w:t>
      </w:r>
      <w:r w:rsidRPr="002267E6">
        <w:rPr>
          <w:rFonts w:ascii="gobCL" w:hAnsi="gobCL" w:cs="Arial"/>
          <w:b/>
          <w:spacing w:val="-8"/>
          <w:sz w:val="22"/>
          <w:szCs w:val="22"/>
        </w:rPr>
        <w:t xml:space="preserve">SEVERA </w:t>
      </w:r>
      <w:r w:rsidRPr="002267E6">
        <w:rPr>
          <w:rFonts w:ascii="gobCL" w:hAnsi="gobCL" w:cs="Arial"/>
          <w:bCs/>
          <w:spacing w:val="-8"/>
          <w:sz w:val="22"/>
          <w:szCs w:val="22"/>
        </w:rPr>
        <w:t>(anafilaxia) a algún componente de la vacuna antes mencionada, en dosis anteriores, evidenciada por médico (certificado médico).</w:t>
      </w:r>
    </w:p>
    <w:p w14:paraId="62BB6E72" w14:textId="77777777" w:rsidR="00CC4FA4" w:rsidRPr="002267E6" w:rsidRDefault="00CC4FA4" w:rsidP="00CC4FA4">
      <w:pPr>
        <w:pStyle w:val="Textoindependiente"/>
        <w:numPr>
          <w:ilvl w:val="0"/>
          <w:numId w:val="7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Personas con inmunodeficiencia congénita o adquirida.</w:t>
      </w:r>
    </w:p>
    <w:p w14:paraId="4B88E4F4" w14:textId="77777777" w:rsidR="00CC4FA4" w:rsidRPr="002267E6" w:rsidRDefault="00CC4FA4" w:rsidP="00CC4FA4">
      <w:pPr>
        <w:pStyle w:val="Textoindependiente"/>
        <w:spacing w:line="264" w:lineRule="auto"/>
        <w:ind w:left="720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DC440CD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2267E6">
        <w:rPr>
          <w:rFonts w:ascii="gobCL" w:hAnsi="gobCL" w:cs="Arial"/>
          <w:b/>
          <w:spacing w:val="-8"/>
          <w:sz w:val="22"/>
          <w:szCs w:val="22"/>
        </w:rPr>
        <w:t xml:space="preserve">¿Quiénes deben esperar un tiempo para vacunarse? </w:t>
      </w:r>
    </w:p>
    <w:p w14:paraId="4CF6E259" w14:textId="77777777" w:rsidR="00CC4FA4" w:rsidRPr="002267E6" w:rsidRDefault="00CC4FA4" w:rsidP="00CC4FA4">
      <w:pPr>
        <w:pStyle w:val="Textoindependiente"/>
        <w:numPr>
          <w:ilvl w:val="0"/>
          <w:numId w:val="8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Personas que cursen enfermedad aguda </w:t>
      </w:r>
      <w:r w:rsidRPr="002267E6">
        <w:rPr>
          <w:rFonts w:ascii="gobCL" w:hAnsi="gobCL" w:cs="Arial"/>
          <w:b/>
          <w:spacing w:val="-8"/>
          <w:sz w:val="22"/>
          <w:szCs w:val="22"/>
        </w:rPr>
        <w:t>SEVERA</w:t>
      </w: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, por ejemplo: neumonía, meningitis, sepsis. </w:t>
      </w:r>
    </w:p>
    <w:p w14:paraId="36563D0F" w14:textId="77777777" w:rsidR="00CC4FA4" w:rsidRPr="002267E6" w:rsidRDefault="00CC4FA4" w:rsidP="00CC4FA4">
      <w:pPr>
        <w:pStyle w:val="Textoindependiente"/>
        <w:numPr>
          <w:ilvl w:val="0"/>
          <w:numId w:val="8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Escolares con fiebre mayor a 38,5ºC axilar. </w:t>
      </w:r>
    </w:p>
    <w:p w14:paraId="2571424A" w14:textId="77777777" w:rsidR="00CC4FA4" w:rsidRPr="002267E6" w:rsidRDefault="00CC4FA4" w:rsidP="00CC4FA4">
      <w:pPr>
        <w:pStyle w:val="Textoindependiente"/>
        <w:numPr>
          <w:ilvl w:val="0"/>
          <w:numId w:val="8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Personas que hayan recibido productos sanguíneos o inmunoglobulinas en los últimos 3 a 12 meses.</w:t>
      </w:r>
    </w:p>
    <w:p w14:paraId="0508E28F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40E83AFA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En ausencia de antecedentes médicos, se asumirá que no existen contraindicaciones ni otros impedimentos, por lo cual se procederá a vacunar a los/as alumnos/as.</w:t>
      </w:r>
    </w:p>
    <w:p w14:paraId="282B570C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21B7331D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2267E6">
        <w:rPr>
          <w:rFonts w:ascii="gobCL" w:hAnsi="gobCL" w:cs="Arial"/>
          <w:b/>
          <w:spacing w:val="-8"/>
          <w:sz w:val="22"/>
          <w:szCs w:val="22"/>
        </w:rPr>
        <w:t>¿Cuándo se vacunará?</w:t>
      </w:r>
    </w:p>
    <w:p w14:paraId="0C30AB84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El día </w:t>
      </w:r>
      <w:r w:rsidRPr="002267E6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                           </w:t>
      </w: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de  </w:t>
      </w:r>
      <w:r w:rsidRPr="002267E6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                                       </w:t>
      </w: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 del año 2025, se realizará la vacunación a los/las escolares de 1° a 2° año básico.</w:t>
      </w:r>
    </w:p>
    <w:p w14:paraId="4230A179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EAF7379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Si su hijo/a no asiste a un establecimiento educacional o por alguna razón no recibió la vacuna, puede acudir a alguno de los vacunatorios públicos y privados en convenio con las SEREMI de Salud del país.</w:t>
      </w:r>
    </w:p>
    <w:p w14:paraId="0BEDE4F8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4075A2CF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2267E6">
        <w:rPr>
          <w:rFonts w:ascii="gobCL" w:hAnsi="gobCL" w:cs="Arial"/>
          <w:b/>
          <w:spacing w:val="-8"/>
          <w:sz w:val="22"/>
          <w:szCs w:val="22"/>
        </w:rPr>
        <w:t>¿Qué establecimiento de salud es el responsable de la vacunación?</w:t>
      </w:r>
    </w:p>
    <w:p w14:paraId="7BF3B92F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>Equipo de vacunación del CESFAM</w:t>
      </w:r>
      <w:r w:rsidRPr="002267E6">
        <w:rPr>
          <w:rFonts w:ascii="gobCL" w:hAnsi="gobCL" w:cs="Arial"/>
          <w:bCs/>
          <w:spacing w:val="-8"/>
          <w:sz w:val="22"/>
          <w:szCs w:val="22"/>
          <w:u w:val="single"/>
        </w:rPr>
        <w:tab/>
        <w:t xml:space="preserve">                                                                                                                      </w:t>
      </w:r>
      <w:proofErr w:type="gramStart"/>
      <w:r w:rsidRPr="002267E6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</w:t>
      </w:r>
      <w:r w:rsidRPr="002267E6">
        <w:rPr>
          <w:rFonts w:ascii="gobCL" w:hAnsi="gobCL" w:cs="Arial"/>
          <w:bCs/>
          <w:spacing w:val="-8"/>
          <w:sz w:val="22"/>
          <w:szCs w:val="22"/>
        </w:rPr>
        <w:t>.</w:t>
      </w:r>
      <w:proofErr w:type="gramEnd"/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  </w:t>
      </w:r>
    </w:p>
    <w:p w14:paraId="5014460C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34D00B82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267E6">
        <w:rPr>
          <w:rFonts w:ascii="gobCL" w:hAnsi="gobCL" w:cs="Arial"/>
          <w:bCs/>
          <w:spacing w:val="-8"/>
          <w:sz w:val="22"/>
          <w:szCs w:val="22"/>
        </w:rPr>
        <w:t xml:space="preserve">Fecha:  </w:t>
      </w:r>
      <w:r w:rsidRPr="002267E6">
        <w:rPr>
          <w:rFonts w:ascii="gobCL" w:hAnsi="gobCL" w:cs="Arial"/>
          <w:bCs/>
          <w:spacing w:val="-8"/>
          <w:sz w:val="22"/>
          <w:szCs w:val="22"/>
          <w:u w:val="single"/>
        </w:rPr>
        <w:tab/>
        <w:t xml:space="preserve">                      </w:t>
      </w:r>
      <w:r w:rsidRPr="002267E6">
        <w:rPr>
          <w:rFonts w:ascii="gobCL" w:hAnsi="gobCL" w:cs="Arial"/>
          <w:bCs/>
          <w:spacing w:val="-8"/>
          <w:sz w:val="22"/>
          <w:szCs w:val="22"/>
        </w:rPr>
        <w:t>de</w:t>
      </w:r>
      <w:r w:rsidRPr="002267E6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                                      </w:t>
      </w:r>
      <w:r w:rsidRPr="002267E6">
        <w:rPr>
          <w:rFonts w:ascii="gobCL" w:hAnsi="gobCL" w:cs="Arial"/>
          <w:bCs/>
          <w:spacing w:val="-8"/>
          <w:sz w:val="22"/>
          <w:szCs w:val="22"/>
        </w:rPr>
        <w:t>del año 2025.</w:t>
      </w:r>
    </w:p>
    <w:p w14:paraId="2C564934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0543149B" w14:textId="77777777" w:rsidR="00CC4FA4" w:rsidRPr="002267E6" w:rsidRDefault="00CC4FA4" w:rsidP="00CC4FA4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2D3DC5B5" w14:textId="77777777" w:rsidR="004F45EC" w:rsidRPr="0024279B" w:rsidRDefault="004F45EC" w:rsidP="00937DB9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sectPr w:rsidR="004F45EC" w:rsidRPr="0024279B" w:rsidSect="00CC4FA4">
      <w:headerReference w:type="default" r:id="rId7"/>
      <w:footerReference w:type="default" r:id="rId8"/>
      <w:pgSz w:w="12240" w:h="15840"/>
      <w:pgMar w:top="1440" w:right="1080" w:bottom="424" w:left="1080" w:header="441" w:footer="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3DB9" w14:textId="77777777" w:rsidR="00F97F70" w:rsidRDefault="00F97F70">
      <w:r>
        <w:separator/>
      </w:r>
    </w:p>
  </w:endnote>
  <w:endnote w:type="continuationSeparator" w:id="0">
    <w:p w14:paraId="12396563" w14:textId="77777777" w:rsidR="00F97F70" w:rsidRDefault="00F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bCL"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1C56" w14:textId="4393A176" w:rsidR="001C2061" w:rsidRDefault="0024279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B1415CC" wp14:editId="3536044D">
              <wp:simplePos x="0" y="0"/>
              <wp:positionH relativeFrom="page">
                <wp:posOffset>7282815</wp:posOffset>
              </wp:positionH>
              <wp:positionV relativeFrom="page">
                <wp:posOffset>9845804</wp:posOffset>
              </wp:positionV>
              <wp:extent cx="615950" cy="223520"/>
              <wp:effectExtent l="0" t="0" r="6350" b="5080"/>
              <wp:wrapNone/>
              <wp:docPr id="57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5950" cy="223520"/>
                        <a:chOff x="0" y="0"/>
                        <a:chExt cx="615950" cy="223520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54000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223520">
                              <a:moveTo>
                                <a:pt x="253441" y="0"/>
                              </a:moveTo>
                              <a:lnTo>
                                <a:pt x="0" y="0"/>
                              </a:lnTo>
                              <a:lnTo>
                                <a:pt x="0" y="223202"/>
                              </a:lnTo>
                              <a:lnTo>
                                <a:pt x="253441" y="223202"/>
                              </a:lnTo>
                              <a:lnTo>
                                <a:pt x="253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253441" y="0"/>
                          <a:ext cx="362585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223520">
                              <a:moveTo>
                                <a:pt x="0" y="223202"/>
                              </a:moveTo>
                              <a:lnTo>
                                <a:pt x="0" y="0"/>
                              </a:lnTo>
                              <a:lnTo>
                                <a:pt x="361975" y="0"/>
                              </a:lnTo>
                              <a:lnTo>
                                <a:pt x="361975" y="223202"/>
                              </a:lnTo>
                              <a:lnTo>
                                <a:pt x="0" y="223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0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7C845A" id="Group 57" o:spid="_x0000_s1026" style="position:absolute;margin-left:573.45pt;margin-top:775.25pt;width:48.5pt;height:17.6pt;z-index:251658240;mso-wrap-distance-left:0;mso-wrap-distance-right:0;mso-position-horizontal-relative:page;mso-position-vertical-relative:page" coordsize="6159,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">
              <v:shape id="Graphic 58" o:spid="_x0000_s1027" style="position:absolute;width:2540;height:2235;visibility:visible;mso-wrap-style:square;v-text-anchor:top" coordsize="254000,223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" path="m253441,l,,,223202r253441,l253441,xe" fillcolor="#006cb7" stroked="f">
                <v:path arrowok="t"/>
              </v:shape>
              <v:shape id="Graphic 59" o:spid="_x0000_s1028" style="position:absolute;left:2534;width:3626;height:2235;visibility:visible;mso-wrap-style:square;v-text-anchor:top" coordsize="362585,223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" path="m,223202l,,361975,r,223202l,223202xe" fillcolor="#ef4044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F350" w14:textId="77777777" w:rsidR="00F97F70" w:rsidRDefault="00F97F70">
      <w:r>
        <w:separator/>
      </w:r>
    </w:p>
  </w:footnote>
  <w:footnote w:type="continuationSeparator" w:id="0">
    <w:p w14:paraId="5A86D444" w14:textId="77777777" w:rsidR="00F97F70" w:rsidRDefault="00F9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1C55" w14:textId="67DA7A53" w:rsidR="001C2061" w:rsidRDefault="0024279B">
    <w:pPr>
      <w:pStyle w:val="Textoindependiente"/>
      <w:spacing w:line="14" w:lineRule="auto"/>
      <w:rPr>
        <w:sz w:val="20"/>
      </w:rPr>
    </w:pPr>
    <w:r>
      <w:rPr>
        <w:rFonts w:ascii="Times New Roman"/>
        <w:noProof/>
        <w:sz w:val="8"/>
      </w:rPr>
      <w:drawing>
        <wp:anchor distT="0" distB="0" distL="0" distR="0" simplePos="0" relativeHeight="251656192" behindDoc="0" locked="0" layoutInCell="1" allowOverlap="1" wp14:anchorId="1E4C48C3" wp14:editId="11A60782">
          <wp:simplePos x="0" y="0"/>
          <wp:positionH relativeFrom="page">
            <wp:posOffset>685800</wp:posOffset>
          </wp:positionH>
          <wp:positionV relativeFrom="paragraph">
            <wp:posOffset>0</wp:posOffset>
          </wp:positionV>
          <wp:extent cx="666427" cy="596685"/>
          <wp:effectExtent l="0" t="0" r="0" b="635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427" cy="59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27"/>
    <w:multiLevelType w:val="hybridMultilevel"/>
    <w:tmpl w:val="B7A47F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6F92"/>
    <w:multiLevelType w:val="hybridMultilevel"/>
    <w:tmpl w:val="1618DB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04B9"/>
    <w:multiLevelType w:val="hybridMultilevel"/>
    <w:tmpl w:val="BA0AB3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6D90"/>
    <w:multiLevelType w:val="hybridMultilevel"/>
    <w:tmpl w:val="C76405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18E0"/>
    <w:multiLevelType w:val="hybridMultilevel"/>
    <w:tmpl w:val="FE6E5454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B37E4C"/>
    <w:multiLevelType w:val="hybridMultilevel"/>
    <w:tmpl w:val="09AAF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704"/>
    <w:multiLevelType w:val="hybridMultilevel"/>
    <w:tmpl w:val="9C46B50E"/>
    <w:lvl w:ilvl="0" w:tplc="6EF66A22">
      <w:numFmt w:val="bullet"/>
      <w:lvlText w:val="•"/>
      <w:lvlJc w:val="left"/>
      <w:pPr>
        <w:ind w:left="1040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58595B"/>
        <w:spacing w:val="0"/>
        <w:w w:val="79"/>
        <w:sz w:val="24"/>
        <w:szCs w:val="24"/>
        <w:lang w:val="es-ES" w:eastAsia="en-US" w:bidi="ar-SA"/>
      </w:rPr>
    </w:lvl>
    <w:lvl w:ilvl="1" w:tplc="316EB416">
      <w:numFmt w:val="bullet"/>
      <w:lvlText w:val="•"/>
      <w:lvlJc w:val="left"/>
      <w:pPr>
        <w:ind w:left="2088" w:hanging="227"/>
      </w:pPr>
      <w:rPr>
        <w:rFonts w:hint="default"/>
        <w:lang w:val="es-ES" w:eastAsia="en-US" w:bidi="ar-SA"/>
      </w:rPr>
    </w:lvl>
    <w:lvl w:ilvl="2" w:tplc="4726F40E">
      <w:numFmt w:val="bullet"/>
      <w:lvlText w:val="•"/>
      <w:lvlJc w:val="left"/>
      <w:pPr>
        <w:ind w:left="3136" w:hanging="227"/>
      </w:pPr>
      <w:rPr>
        <w:rFonts w:hint="default"/>
        <w:lang w:val="es-ES" w:eastAsia="en-US" w:bidi="ar-SA"/>
      </w:rPr>
    </w:lvl>
    <w:lvl w:ilvl="3" w:tplc="64EABFE4">
      <w:numFmt w:val="bullet"/>
      <w:lvlText w:val="•"/>
      <w:lvlJc w:val="left"/>
      <w:pPr>
        <w:ind w:left="4184" w:hanging="227"/>
      </w:pPr>
      <w:rPr>
        <w:rFonts w:hint="default"/>
        <w:lang w:val="es-ES" w:eastAsia="en-US" w:bidi="ar-SA"/>
      </w:rPr>
    </w:lvl>
    <w:lvl w:ilvl="4" w:tplc="3E746108">
      <w:numFmt w:val="bullet"/>
      <w:lvlText w:val="•"/>
      <w:lvlJc w:val="left"/>
      <w:pPr>
        <w:ind w:left="5232" w:hanging="227"/>
      </w:pPr>
      <w:rPr>
        <w:rFonts w:hint="default"/>
        <w:lang w:val="es-ES" w:eastAsia="en-US" w:bidi="ar-SA"/>
      </w:rPr>
    </w:lvl>
    <w:lvl w:ilvl="5" w:tplc="EEF24B28">
      <w:numFmt w:val="bullet"/>
      <w:lvlText w:val="•"/>
      <w:lvlJc w:val="left"/>
      <w:pPr>
        <w:ind w:left="6280" w:hanging="227"/>
      </w:pPr>
      <w:rPr>
        <w:rFonts w:hint="default"/>
        <w:lang w:val="es-ES" w:eastAsia="en-US" w:bidi="ar-SA"/>
      </w:rPr>
    </w:lvl>
    <w:lvl w:ilvl="6" w:tplc="C3D2C66E">
      <w:numFmt w:val="bullet"/>
      <w:lvlText w:val="•"/>
      <w:lvlJc w:val="left"/>
      <w:pPr>
        <w:ind w:left="7328" w:hanging="227"/>
      </w:pPr>
      <w:rPr>
        <w:rFonts w:hint="default"/>
        <w:lang w:val="es-ES" w:eastAsia="en-US" w:bidi="ar-SA"/>
      </w:rPr>
    </w:lvl>
    <w:lvl w:ilvl="7" w:tplc="15BAEAD4">
      <w:numFmt w:val="bullet"/>
      <w:lvlText w:val="•"/>
      <w:lvlJc w:val="left"/>
      <w:pPr>
        <w:ind w:left="8376" w:hanging="227"/>
      </w:pPr>
      <w:rPr>
        <w:rFonts w:hint="default"/>
        <w:lang w:val="es-ES" w:eastAsia="en-US" w:bidi="ar-SA"/>
      </w:rPr>
    </w:lvl>
    <w:lvl w:ilvl="8" w:tplc="47D88AB0">
      <w:numFmt w:val="bullet"/>
      <w:lvlText w:val="•"/>
      <w:lvlJc w:val="left"/>
      <w:pPr>
        <w:ind w:left="9424" w:hanging="227"/>
      </w:pPr>
      <w:rPr>
        <w:rFonts w:hint="default"/>
        <w:lang w:val="es-ES" w:eastAsia="en-US" w:bidi="ar-SA"/>
      </w:rPr>
    </w:lvl>
  </w:abstractNum>
  <w:abstractNum w:abstractNumId="7" w15:restartNumberingAfterBreak="0">
    <w:nsid w:val="5D3B6571"/>
    <w:multiLevelType w:val="hybridMultilevel"/>
    <w:tmpl w:val="B9207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299859">
    <w:abstractNumId w:val="6"/>
  </w:num>
  <w:num w:numId="2" w16cid:durableId="2007902797">
    <w:abstractNumId w:val="4"/>
  </w:num>
  <w:num w:numId="3" w16cid:durableId="1956710744">
    <w:abstractNumId w:val="5"/>
  </w:num>
  <w:num w:numId="4" w16cid:durableId="1633557161">
    <w:abstractNumId w:val="2"/>
  </w:num>
  <w:num w:numId="5" w16cid:durableId="672025911">
    <w:abstractNumId w:val="0"/>
  </w:num>
  <w:num w:numId="6" w16cid:durableId="1003556139">
    <w:abstractNumId w:val="7"/>
  </w:num>
  <w:num w:numId="7" w16cid:durableId="1080517238">
    <w:abstractNumId w:val="3"/>
  </w:num>
  <w:num w:numId="8" w16cid:durableId="27343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1"/>
    <w:rsid w:val="00021FBC"/>
    <w:rsid w:val="0008126E"/>
    <w:rsid w:val="000E5DE6"/>
    <w:rsid w:val="0011318C"/>
    <w:rsid w:val="00122C5F"/>
    <w:rsid w:val="00134D92"/>
    <w:rsid w:val="00141918"/>
    <w:rsid w:val="001545EF"/>
    <w:rsid w:val="00175BEE"/>
    <w:rsid w:val="001A5E44"/>
    <w:rsid w:val="001C2061"/>
    <w:rsid w:val="001D31D8"/>
    <w:rsid w:val="0024279B"/>
    <w:rsid w:val="00266E6B"/>
    <w:rsid w:val="0029063A"/>
    <w:rsid w:val="002E0A5A"/>
    <w:rsid w:val="0031661D"/>
    <w:rsid w:val="00366FF4"/>
    <w:rsid w:val="003A064E"/>
    <w:rsid w:val="003A5B9C"/>
    <w:rsid w:val="00426D45"/>
    <w:rsid w:val="0043154E"/>
    <w:rsid w:val="004315FB"/>
    <w:rsid w:val="00454069"/>
    <w:rsid w:val="004602DA"/>
    <w:rsid w:val="004F45EC"/>
    <w:rsid w:val="00523384"/>
    <w:rsid w:val="00531CB6"/>
    <w:rsid w:val="00552983"/>
    <w:rsid w:val="0055646D"/>
    <w:rsid w:val="0056594B"/>
    <w:rsid w:val="005A48C9"/>
    <w:rsid w:val="0062401E"/>
    <w:rsid w:val="00635332"/>
    <w:rsid w:val="006C0CDD"/>
    <w:rsid w:val="006E4E55"/>
    <w:rsid w:val="00724134"/>
    <w:rsid w:val="0073497E"/>
    <w:rsid w:val="007B07EC"/>
    <w:rsid w:val="007E33A7"/>
    <w:rsid w:val="007F1343"/>
    <w:rsid w:val="00895B30"/>
    <w:rsid w:val="008A3DED"/>
    <w:rsid w:val="008B7220"/>
    <w:rsid w:val="008E6931"/>
    <w:rsid w:val="00901924"/>
    <w:rsid w:val="0090680F"/>
    <w:rsid w:val="00926F67"/>
    <w:rsid w:val="00937DB9"/>
    <w:rsid w:val="00954B43"/>
    <w:rsid w:val="009A3F98"/>
    <w:rsid w:val="009F2C79"/>
    <w:rsid w:val="00A123B1"/>
    <w:rsid w:val="00A5186A"/>
    <w:rsid w:val="00A62BE8"/>
    <w:rsid w:val="00A82B9D"/>
    <w:rsid w:val="00A862D3"/>
    <w:rsid w:val="00A95251"/>
    <w:rsid w:val="00AA0025"/>
    <w:rsid w:val="00AB4DE4"/>
    <w:rsid w:val="00AE1997"/>
    <w:rsid w:val="00B165E8"/>
    <w:rsid w:val="00B43AE0"/>
    <w:rsid w:val="00C3613B"/>
    <w:rsid w:val="00C9619B"/>
    <w:rsid w:val="00CA4206"/>
    <w:rsid w:val="00CC4FA4"/>
    <w:rsid w:val="00CF5605"/>
    <w:rsid w:val="00D23ACB"/>
    <w:rsid w:val="00D43E81"/>
    <w:rsid w:val="00D45455"/>
    <w:rsid w:val="00D70AA2"/>
    <w:rsid w:val="00E2215C"/>
    <w:rsid w:val="00E23711"/>
    <w:rsid w:val="00EA1919"/>
    <w:rsid w:val="00EC767C"/>
    <w:rsid w:val="00EF668A"/>
    <w:rsid w:val="00F474A1"/>
    <w:rsid w:val="00F61717"/>
    <w:rsid w:val="00F97F70"/>
    <w:rsid w:val="00F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11C1D"/>
  <w15:docId w15:val="{687B0267-883F-4F93-A60F-9D46880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1"/>
      <w:ind w:left="3869" w:right="1295" w:hanging="1541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line="280" w:lineRule="exact"/>
      <w:ind w:left="1039" w:hanging="226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B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29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98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29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983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Ignacio Saavedra</cp:lastModifiedBy>
  <cp:revision>2</cp:revision>
  <cp:lastPrinted>2025-06-23T14:48:00Z</cp:lastPrinted>
  <dcterms:created xsi:type="dcterms:W3CDTF">2025-06-25T18:20:00Z</dcterms:created>
  <dcterms:modified xsi:type="dcterms:W3CDTF">2025-06-25T18:20:00Z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17.0</vt:lpwstr>
  </property>
</Properties>
</file>