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DE9A" w14:textId="1851F23F" w:rsidR="007A5EF9" w:rsidRPr="00DB2731" w:rsidRDefault="007A5EF9" w:rsidP="003905D8">
      <w:pPr>
        <w:pStyle w:val="Ttulo2"/>
        <w:ind w:left="-426" w:right="-234"/>
        <w:jc w:val="center"/>
        <w:rPr>
          <w:rFonts w:ascii="gobCL" w:hAnsi="gobCL" w:cs="Arial"/>
          <w:b/>
          <w:bCs/>
          <w:color w:val="000000" w:themeColor="text1"/>
          <w:w w:val="90"/>
          <w:sz w:val="24"/>
          <w:szCs w:val="24"/>
        </w:rPr>
      </w:pPr>
      <w:r w:rsidRPr="00DB2731">
        <w:rPr>
          <w:rFonts w:ascii="gobCL" w:hAnsi="gobCL" w:cs="Arial"/>
          <w:b/>
          <w:bCs/>
          <w:color w:val="000000" w:themeColor="text1"/>
          <w:w w:val="90"/>
          <w:sz w:val="24"/>
          <w:szCs w:val="24"/>
        </w:rPr>
        <w:t>CARTA PARA PADRES Y APODERADOS SOBRE VACUNACIÓN ESCOLAR 4° AÑO BÁSICO</w:t>
      </w:r>
    </w:p>
    <w:p w14:paraId="01147BBD" w14:textId="77777777" w:rsidR="007A5EF9" w:rsidRPr="00DB2731" w:rsidRDefault="007A5EF9" w:rsidP="007A5EF9">
      <w:pPr>
        <w:pStyle w:val="Textoindependiente"/>
        <w:spacing w:before="77"/>
        <w:rPr>
          <w:rFonts w:ascii="gobCL" w:hAnsi="gobCL" w:cs="Arial"/>
          <w:b w:val="0"/>
          <w:sz w:val="20"/>
          <w:szCs w:val="20"/>
        </w:rPr>
      </w:pPr>
    </w:p>
    <w:p w14:paraId="09DBA135" w14:textId="77777777" w:rsidR="007A5EF9" w:rsidRPr="00DB2731" w:rsidRDefault="007A5EF9" w:rsidP="007A5EF9">
      <w:pPr>
        <w:pStyle w:val="Textoindependiente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>Estimados padres y/o apoderados:</w:t>
      </w:r>
    </w:p>
    <w:p w14:paraId="49C433CA" w14:textId="77777777" w:rsidR="007A5EF9" w:rsidRPr="00DB2731" w:rsidRDefault="007A5EF9" w:rsidP="007A5EF9">
      <w:pPr>
        <w:pStyle w:val="Textoindependiente"/>
        <w:spacing w:before="49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</w:p>
    <w:p w14:paraId="0703A0F1" w14:textId="70F8611B" w:rsidR="007A5EF9" w:rsidRPr="00DB2731" w:rsidRDefault="007A5EF9" w:rsidP="007A5EF9">
      <w:pPr>
        <w:pStyle w:val="Textoindependiente"/>
        <w:tabs>
          <w:tab w:val="left" w:pos="9933"/>
        </w:tabs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>Junto con saludar, informo a usted que se iniciará la vacunación escolar correspondiente al año 20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u w:val="single"/>
        </w:rPr>
        <w:t xml:space="preserve">                                           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>.</w:t>
      </w:r>
    </w:p>
    <w:p w14:paraId="31420389" w14:textId="77777777" w:rsidR="007A5EF9" w:rsidRPr="00DB2731" w:rsidRDefault="007A5EF9" w:rsidP="007A5EF9">
      <w:pPr>
        <w:pStyle w:val="Textoindependiente"/>
        <w:spacing w:before="49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</w:p>
    <w:p w14:paraId="4C8E6B45" w14:textId="77777777" w:rsidR="007A5EF9" w:rsidRPr="00DB2731" w:rsidRDefault="007A5EF9" w:rsidP="007A5EF9">
      <w:pPr>
        <w:pStyle w:val="Textoindependiente"/>
        <w:spacing w:before="19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Ésta es una vacunación programática, instruida por el Ministerio de Salud y su administración tiene carácter </w:t>
      </w:r>
      <w:r w:rsidRPr="00DB2731">
        <w:rPr>
          <w:rFonts w:ascii="gobCL" w:hAnsi="gobCL" w:cs="Arial"/>
          <w:spacing w:val="-8"/>
          <w:sz w:val="20"/>
          <w:szCs w:val="20"/>
          <w:lang w:val="es-CL"/>
        </w:rPr>
        <w:t>OBLIGATORIO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 por lo que </w:t>
      </w:r>
      <w:r w:rsidRPr="00DB2731">
        <w:rPr>
          <w:rFonts w:ascii="gobCL" w:hAnsi="gobCL" w:cs="Arial"/>
          <w:spacing w:val="-8"/>
          <w:sz w:val="20"/>
          <w:szCs w:val="20"/>
          <w:lang w:val="es-CL"/>
        </w:rPr>
        <w:t>NO REQUIERE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 autorización por medio de firma de consentimiento informado de los padres y/o apoderados, en conformidad con lo establecido en el artículo 32º del Código Sanitario, el Decreto Exento N°50 del 2021 y sus posteriores modificaciones. Por lo anterior, se ha dispuesto la vacunación en establecimientos educacionales públicos y privados del país.</w:t>
      </w:r>
    </w:p>
    <w:p w14:paraId="0EB6215E" w14:textId="77777777" w:rsidR="007A5EF9" w:rsidRPr="00DB2731" w:rsidRDefault="007A5EF9" w:rsidP="007A5EF9">
      <w:pPr>
        <w:pStyle w:val="Textoindependiente"/>
        <w:spacing w:before="19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</w:p>
    <w:p w14:paraId="7C2ACAD1" w14:textId="77777777" w:rsidR="007A5EF9" w:rsidRPr="00DB2731" w:rsidRDefault="007A5EF9" w:rsidP="007A5EF9">
      <w:pPr>
        <w:pStyle w:val="Textoindependiente"/>
        <w:spacing w:line="264" w:lineRule="auto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>A los/las escolares que cursan 4º año básico les corresponde la administración de la vacuna contra el Virus Papiloma Humano (VPH), la que protege contra enfermedades y muertes causadas por el contagio del VPH entre las personas.</w:t>
      </w:r>
    </w:p>
    <w:p w14:paraId="10B3B28F" w14:textId="77777777" w:rsidR="007A5EF9" w:rsidRPr="00DB2731" w:rsidRDefault="007A5EF9" w:rsidP="007A5EF9">
      <w:pPr>
        <w:pStyle w:val="Textoindependiente"/>
        <w:spacing w:line="264" w:lineRule="auto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</w:p>
    <w:p w14:paraId="58D5CA86" w14:textId="77777777" w:rsidR="007A5EF9" w:rsidRPr="00DB2731" w:rsidRDefault="007A5EF9" w:rsidP="007A5EF9">
      <w:pPr>
        <w:pStyle w:val="Textoindependiente"/>
        <w:spacing w:line="264" w:lineRule="auto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La vacuna que recibirán los escolares de 4º año básico previene las siguientes enfermedades: </w:t>
      </w:r>
    </w:p>
    <w:p w14:paraId="1CC767D3" w14:textId="77777777" w:rsidR="007A5EF9" w:rsidRPr="00DB2731" w:rsidRDefault="007A5EF9" w:rsidP="007A5EF9">
      <w:pPr>
        <w:pStyle w:val="Textoindependiente"/>
        <w:spacing w:line="264" w:lineRule="auto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</w:p>
    <w:p w14:paraId="28E6C7C5" w14:textId="77777777" w:rsidR="007A5EF9" w:rsidRPr="00DB2731" w:rsidRDefault="007A5EF9" w:rsidP="00DB2731">
      <w:pPr>
        <w:pStyle w:val="Default"/>
        <w:numPr>
          <w:ilvl w:val="0"/>
          <w:numId w:val="2"/>
        </w:numPr>
        <w:ind w:left="424" w:right="759" w:hanging="141"/>
        <w:jc w:val="both"/>
        <w:rPr>
          <w:rFonts w:ascii="gobCL" w:eastAsia="Trebuchet MS" w:hAnsi="gobCL" w:cs="Arial"/>
          <w:bCs/>
          <w:color w:val="auto"/>
          <w:spacing w:val="-8"/>
          <w:sz w:val="20"/>
          <w:szCs w:val="20"/>
          <w:lang w:val="es-ES"/>
        </w:rPr>
      </w:pPr>
      <w:r w:rsidRPr="00DB2731">
        <w:rPr>
          <w:rFonts w:ascii="gobCL" w:eastAsia="Trebuchet MS" w:hAnsi="gobCL" w:cs="Arial"/>
          <w:b/>
          <w:color w:val="auto"/>
          <w:spacing w:val="-8"/>
          <w:sz w:val="20"/>
          <w:szCs w:val="20"/>
          <w:lang w:val="es-ES"/>
        </w:rPr>
        <w:t>Cáncer genital:</w:t>
      </w:r>
      <w:r w:rsidRPr="00DB2731">
        <w:rPr>
          <w:rFonts w:ascii="gobCL" w:eastAsia="Trebuchet MS" w:hAnsi="gobCL" w:cs="Arial"/>
          <w:bCs/>
          <w:color w:val="auto"/>
          <w:spacing w:val="-8"/>
          <w:sz w:val="20"/>
          <w:szCs w:val="20"/>
          <w:lang w:val="es-ES"/>
        </w:rPr>
        <w:t xml:space="preserve"> Son producidos por la infección con genotipos de VPH de alto riesgo (VPH 16, 18, 31, 33, 45, 52 y 58), y pueden provocar cáncer de cuello del útero, vaginal, vulva, cáncer anal, y cáncer en la garganta o boca. En las mujeres, el cáncer de cuello del útero es responsable de más de 600 defunciones al año y es la segunda causa de muerte por cáncer en mujeres en edad adulta en Chile. En hombres el VPH está asociado a cáncer de </w:t>
      </w:r>
      <w:proofErr w:type="spellStart"/>
      <w:r w:rsidRPr="00DB2731">
        <w:rPr>
          <w:rFonts w:ascii="gobCL" w:eastAsia="Trebuchet MS" w:hAnsi="gobCL" w:cs="Arial"/>
          <w:bCs/>
          <w:color w:val="auto"/>
          <w:spacing w:val="-8"/>
          <w:sz w:val="20"/>
          <w:szCs w:val="20"/>
          <w:lang w:val="es-ES"/>
        </w:rPr>
        <w:t>ano</w:t>
      </w:r>
      <w:proofErr w:type="spellEnd"/>
      <w:r w:rsidRPr="00DB2731">
        <w:rPr>
          <w:rFonts w:ascii="gobCL" w:eastAsia="Trebuchet MS" w:hAnsi="gobCL" w:cs="Arial"/>
          <w:bCs/>
          <w:color w:val="auto"/>
          <w:spacing w:val="-8"/>
          <w:sz w:val="20"/>
          <w:szCs w:val="20"/>
          <w:lang w:val="es-ES"/>
        </w:rPr>
        <w:t xml:space="preserve">, pene y algunos tipos de cáncer de boca y faringe. </w:t>
      </w:r>
    </w:p>
    <w:p w14:paraId="388A9A4C" w14:textId="77777777" w:rsidR="007A5EF9" w:rsidRPr="00DB2731" w:rsidRDefault="007A5EF9" w:rsidP="00DB2731">
      <w:pPr>
        <w:pStyle w:val="Default"/>
        <w:ind w:left="424" w:right="759"/>
        <w:jc w:val="both"/>
        <w:rPr>
          <w:rFonts w:ascii="gobCL" w:eastAsia="Trebuchet MS" w:hAnsi="gobCL" w:cs="Arial"/>
          <w:bCs/>
          <w:color w:val="auto"/>
          <w:spacing w:val="-8"/>
          <w:sz w:val="20"/>
          <w:szCs w:val="20"/>
          <w:lang w:val="es-ES"/>
        </w:rPr>
      </w:pPr>
    </w:p>
    <w:p w14:paraId="384E2542" w14:textId="77777777" w:rsidR="007A5EF9" w:rsidRPr="00DB2731" w:rsidRDefault="007A5EF9" w:rsidP="00DB2731">
      <w:pPr>
        <w:pStyle w:val="Default"/>
        <w:numPr>
          <w:ilvl w:val="0"/>
          <w:numId w:val="2"/>
        </w:numPr>
        <w:ind w:left="424" w:right="759" w:hanging="141"/>
        <w:jc w:val="both"/>
        <w:rPr>
          <w:rFonts w:ascii="gobCL" w:eastAsia="Trebuchet MS" w:hAnsi="gobCL" w:cs="Arial"/>
          <w:bCs/>
          <w:color w:val="auto"/>
          <w:spacing w:val="-8"/>
          <w:sz w:val="20"/>
          <w:szCs w:val="20"/>
          <w:lang w:val="es-ES"/>
        </w:rPr>
      </w:pPr>
      <w:r w:rsidRPr="00DB2731">
        <w:rPr>
          <w:rFonts w:ascii="gobCL" w:eastAsia="Trebuchet MS" w:hAnsi="gobCL" w:cs="Arial"/>
          <w:b/>
          <w:color w:val="auto"/>
          <w:spacing w:val="-8"/>
          <w:sz w:val="20"/>
          <w:szCs w:val="20"/>
          <w:lang w:val="es-ES"/>
        </w:rPr>
        <w:t>Verrugas genitales:</w:t>
      </w:r>
      <w:r w:rsidRPr="00DB2731">
        <w:rPr>
          <w:rFonts w:ascii="gobCL" w:eastAsia="Trebuchet MS" w:hAnsi="gobCL" w:cs="Arial"/>
          <w:bCs/>
          <w:color w:val="auto"/>
          <w:spacing w:val="-8"/>
          <w:sz w:val="20"/>
          <w:szCs w:val="20"/>
          <w:lang w:val="es-ES"/>
        </w:rPr>
        <w:t xml:space="preserve"> Son producidas por la infección con genotipos de VPH bajo riesgo (VPH 6 y 11). Los condilomas son lesiones en la piel y en las membranas mucosas de los genitales. Se pueden encontrar en pene, vulva, uretra, vagina, cuello uterino, así como dentro y alrededor del ano. </w:t>
      </w:r>
    </w:p>
    <w:p w14:paraId="28F8320A" w14:textId="77777777" w:rsidR="007A5EF9" w:rsidRPr="00DB2731" w:rsidRDefault="007A5EF9" w:rsidP="007A5EF9">
      <w:pPr>
        <w:pStyle w:val="Textoindependiente"/>
        <w:spacing w:before="20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</w:p>
    <w:p w14:paraId="54A47409" w14:textId="77777777" w:rsidR="007A5EF9" w:rsidRPr="00DB2731" w:rsidRDefault="007A5EF9" w:rsidP="007A5EF9">
      <w:pPr>
        <w:pStyle w:val="Textoindependiente"/>
        <w:spacing w:before="1" w:line="264" w:lineRule="auto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Existen más de 100 tipos diferentes VPH que se transmiten a través de contacto sexual, y el contagio por este virus es la infección de transmisión sexual (ITS) más común. Ciertos tipos del VPH pueden conducir a cambios precancerosos, denominados VPH de alto riesgo y otros producen alteraciones benignas como las verrugas genitales, y se denominan VPH de bajo riesgo. </w:t>
      </w:r>
    </w:p>
    <w:p w14:paraId="44046545" w14:textId="77777777" w:rsidR="007A5EF9" w:rsidRPr="00DB2731" w:rsidRDefault="007A5EF9" w:rsidP="007A5EF9">
      <w:pPr>
        <w:pStyle w:val="Textoindependiente"/>
        <w:spacing w:before="1" w:line="264" w:lineRule="auto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</w:p>
    <w:p w14:paraId="77ADE666" w14:textId="77777777" w:rsidR="007A5EF9" w:rsidRPr="00DB2731" w:rsidRDefault="007A5EF9" w:rsidP="007A5EF9">
      <w:pPr>
        <w:pStyle w:val="Textoindependiente"/>
        <w:spacing w:before="1" w:line="264" w:lineRule="auto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>La vacuna contra el VPH contiene los serotipos que causan mayor prevalencia de enfermedades más graves asociadas a este virus.</w:t>
      </w:r>
    </w:p>
    <w:p w14:paraId="656CCB31" w14:textId="77777777" w:rsidR="007A5EF9" w:rsidRPr="00DB2731" w:rsidRDefault="007A5EF9" w:rsidP="007A5EF9">
      <w:pPr>
        <w:pStyle w:val="Textoindependiente"/>
        <w:spacing w:before="4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</w:p>
    <w:p w14:paraId="19BC059F" w14:textId="77777777" w:rsidR="007A5EF9" w:rsidRPr="00DB2731" w:rsidRDefault="007A5EF9" w:rsidP="007A5EF9">
      <w:pPr>
        <w:pStyle w:val="Textoindependiente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>Las reacciones que se pueden asociar a vacuna VPH son:</w:t>
      </w:r>
    </w:p>
    <w:p w14:paraId="5D30710A" w14:textId="77777777" w:rsidR="007A5EF9" w:rsidRPr="00DB2731" w:rsidRDefault="007A5EF9" w:rsidP="007A5EF9">
      <w:pPr>
        <w:pStyle w:val="Textoindependiente"/>
        <w:widowControl w:val="0"/>
        <w:numPr>
          <w:ilvl w:val="0"/>
          <w:numId w:val="5"/>
        </w:numPr>
        <w:autoSpaceDE w:val="0"/>
        <w:autoSpaceDN w:val="0"/>
        <w:ind w:left="142" w:right="759" w:hanging="141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>En el sitio de punción: enrojecimiento, dolor, aumento de volumen y/o picazón.</w:t>
      </w:r>
    </w:p>
    <w:p w14:paraId="266D6307" w14:textId="77777777" w:rsidR="007A5EF9" w:rsidRPr="00DB2731" w:rsidRDefault="007A5EF9" w:rsidP="007A5EF9">
      <w:pPr>
        <w:pStyle w:val="Textoindependiente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</w:p>
    <w:p w14:paraId="4D7CC794" w14:textId="77777777" w:rsidR="007A5EF9" w:rsidRPr="00DB2731" w:rsidRDefault="007A5EF9" w:rsidP="007A5EF9">
      <w:pPr>
        <w:pStyle w:val="Textoindependiente"/>
        <w:spacing w:before="1" w:line="264" w:lineRule="auto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>Considerando todos los antecedentes expuestos, le solicitamos que, en caso de que su hijo/a o pupilo/a, presente alguna condición que amerite precauciones especiales o alguna contraindicación para ser vacunado, informe esta situación a través de un certificado médico y de forma oportuna al profesor jefe del curso.</w:t>
      </w:r>
    </w:p>
    <w:p w14:paraId="47014FE8" w14:textId="77777777" w:rsidR="007A5EF9" w:rsidRPr="00DB2731" w:rsidRDefault="007A5EF9" w:rsidP="007A5EF9">
      <w:pPr>
        <w:pStyle w:val="Textoindependiente"/>
        <w:spacing w:before="127"/>
        <w:ind w:right="759"/>
        <w:jc w:val="both"/>
        <w:rPr>
          <w:rFonts w:ascii="gobCL" w:hAnsi="gobCL" w:cs="Arial"/>
          <w:b w:val="0"/>
          <w:bCs/>
          <w:sz w:val="20"/>
          <w:szCs w:val="20"/>
        </w:rPr>
      </w:pPr>
    </w:p>
    <w:p w14:paraId="18635AA4" w14:textId="77777777" w:rsidR="007A5EF9" w:rsidRPr="00DB2731" w:rsidRDefault="007A5EF9" w:rsidP="007A5EF9">
      <w:pPr>
        <w:ind w:right="759"/>
        <w:jc w:val="both"/>
        <w:rPr>
          <w:rFonts w:ascii="gobCL" w:hAnsi="gobCL" w:cs="Arial"/>
          <w:b/>
          <w:sz w:val="20"/>
          <w:szCs w:val="20"/>
        </w:rPr>
      </w:pPr>
      <w:r w:rsidRPr="00DB2731">
        <w:rPr>
          <w:rFonts w:ascii="gobCL" w:hAnsi="gobCL" w:cs="Arial"/>
          <w:b/>
          <w:sz w:val="20"/>
          <w:szCs w:val="20"/>
        </w:rPr>
        <w:t xml:space="preserve">¿Quiénes no deben vacunarse? </w:t>
      </w:r>
    </w:p>
    <w:p w14:paraId="3698F383" w14:textId="77777777" w:rsidR="007A5EF9" w:rsidRPr="00DB2731" w:rsidRDefault="007A5EF9" w:rsidP="007A5EF9">
      <w:pPr>
        <w:pStyle w:val="Textoindependiente"/>
        <w:widowControl w:val="0"/>
        <w:numPr>
          <w:ilvl w:val="0"/>
          <w:numId w:val="5"/>
        </w:numPr>
        <w:autoSpaceDE w:val="0"/>
        <w:autoSpaceDN w:val="0"/>
        <w:ind w:left="142" w:right="759" w:hanging="141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Personas que hayan tenido una reacción alérgica </w:t>
      </w:r>
      <w:r w:rsidRPr="00DB2731">
        <w:rPr>
          <w:rFonts w:ascii="gobCL" w:hAnsi="gobCL" w:cs="Arial"/>
          <w:spacing w:val="-8"/>
          <w:sz w:val="20"/>
          <w:szCs w:val="20"/>
          <w:lang w:val="es-CL"/>
        </w:rPr>
        <w:t>SEVERA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 (anafilaxia) a algún componente de la vacuna antes mencionada, en dosis anteriores </w:t>
      </w:r>
      <w:r w:rsidRPr="00DB2731">
        <w:rPr>
          <w:rFonts w:ascii="gobCL" w:hAnsi="gobCL" w:cs="Arial"/>
          <w:b w:val="0"/>
          <w:spacing w:val="-8"/>
          <w:sz w:val="20"/>
          <w:szCs w:val="20"/>
        </w:rPr>
        <w:t>evidenciada por médico.</w:t>
      </w:r>
    </w:p>
    <w:p w14:paraId="24C2A954" w14:textId="77777777" w:rsidR="007A5EF9" w:rsidRPr="00DB2731" w:rsidRDefault="007A5EF9" w:rsidP="007A5EF9">
      <w:pPr>
        <w:pStyle w:val="Textoindependiente"/>
        <w:spacing w:before="120"/>
        <w:ind w:right="759"/>
        <w:jc w:val="both"/>
        <w:rPr>
          <w:rFonts w:ascii="gobCL" w:hAnsi="gobCL" w:cs="Arial"/>
          <w:b w:val="0"/>
          <w:bCs/>
          <w:sz w:val="20"/>
          <w:szCs w:val="20"/>
        </w:rPr>
      </w:pPr>
    </w:p>
    <w:p w14:paraId="5AE6D2F5" w14:textId="77777777" w:rsidR="007A5EF9" w:rsidRPr="00DB2731" w:rsidRDefault="007A5EF9" w:rsidP="007A5EF9">
      <w:pPr>
        <w:ind w:right="759"/>
        <w:jc w:val="both"/>
        <w:rPr>
          <w:rFonts w:ascii="gobCL" w:hAnsi="gobCL" w:cs="Arial"/>
          <w:b/>
          <w:sz w:val="20"/>
          <w:szCs w:val="20"/>
        </w:rPr>
      </w:pPr>
      <w:r w:rsidRPr="00DB2731">
        <w:rPr>
          <w:rFonts w:ascii="gobCL" w:hAnsi="gobCL" w:cs="Arial"/>
          <w:b/>
          <w:sz w:val="20"/>
          <w:szCs w:val="20"/>
        </w:rPr>
        <w:t>¿Quiénes deben esperar un tiempo para vacunarse?</w:t>
      </w:r>
    </w:p>
    <w:p w14:paraId="6437D9DE" w14:textId="77777777" w:rsidR="007A5EF9" w:rsidRPr="00DB2731" w:rsidRDefault="007A5EF9" w:rsidP="007A5EF9">
      <w:pPr>
        <w:pStyle w:val="Textoindependiente"/>
        <w:widowControl w:val="0"/>
        <w:numPr>
          <w:ilvl w:val="0"/>
          <w:numId w:val="5"/>
        </w:numPr>
        <w:autoSpaceDE w:val="0"/>
        <w:autoSpaceDN w:val="0"/>
        <w:ind w:left="142" w:right="759" w:hanging="141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Personas que cursen enfermedad aguda </w:t>
      </w:r>
      <w:r w:rsidRPr="00DB2731">
        <w:rPr>
          <w:rFonts w:ascii="gobCL" w:hAnsi="gobCL" w:cs="Arial"/>
          <w:spacing w:val="-8"/>
          <w:sz w:val="20"/>
          <w:szCs w:val="20"/>
          <w:lang w:val="es-CL"/>
        </w:rPr>
        <w:t>SEVERA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, por ejemplo: neumonía, meningitis, sepsis. </w:t>
      </w:r>
    </w:p>
    <w:p w14:paraId="4DAE03D2" w14:textId="77777777" w:rsidR="007A5EF9" w:rsidRPr="00DB2731" w:rsidRDefault="007A5EF9" w:rsidP="007A5EF9">
      <w:pPr>
        <w:pStyle w:val="Textoindependiente"/>
        <w:widowControl w:val="0"/>
        <w:numPr>
          <w:ilvl w:val="0"/>
          <w:numId w:val="5"/>
        </w:numPr>
        <w:autoSpaceDE w:val="0"/>
        <w:autoSpaceDN w:val="0"/>
        <w:ind w:left="142" w:right="759" w:hanging="141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Escolares con fiebre mayor a 38,5ºC axilar. </w:t>
      </w:r>
    </w:p>
    <w:p w14:paraId="27D577E4" w14:textId="77777777" w:rsidR="007A5EF9" w:rsidRPr="00DB2731" w:rsidRDefault="007A5EF9" w:rsidP="007A5EF9">
      <w:pPr>
        <w:pStyle w:val="Textoindependiente"/>
        <w:spacing w:before="21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</w:p>
    <w:p w14:paraId="43652F2F" w14:textId="77777777" w:rsidR="007A5EF9" w:rsidRPr="00DB2731" w:rsidRDefault="007A5EF9" w:rsidP="007A5EF9">
      <w:pPr>
        <w:pStyle w:val="Textoindependiente"/>
        <w:tabs>
          <w:tab w:val="left" w:pos="9781"/>
        </w:tabs>
        <w:spacing w:before="122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En ausencia de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 xml:space="preserve">antecedentes médicos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>u otra indicación por escrito, se asumirá que no existen contraindicaciones ni otros impedimentos, por lo cual se procederá a vacunar a los escolares.</w:t>
      </w:r>
    </w:p>
    <w:p w14:paraId="1366C931" w14:textId="77777777" w:rsidR="007A5EF9" w:rsidRPr="00DB2731" w:rsidRDefault="007A5EF9" w:rsidP="007A5EF9">
      <w:pPr>
        <w:ind w:right="759"/>
        <w:jc w:val="both"/>
        <w:rPr>
          <w:rFonts w:ascii="gobCL" w:hAnsi="gobCL" w:cs="Arial"/>
          <w:b/>
          <w:sz w:val="20"/>
          <w:szCs w:val="20"/>
        </w:rPr>
      </w:pPr>
      <w:r w:rsidRPr="00DB2731">
        <w:rPr>
          <w:rFonts w:ascii="gobCL" w:hAnsi="gobCL" w:cs="Arial"/>
          <w:b/>
          <w:sz w:val="20"/>
          <w:szCs w:val="20"/>
        </w:rPr>
        <w:t>¿Cuándo se vacunará?</w:t>
      </w:r>
    </w:p>
    <w:p w14:paraId="69412554" w14:textId="77777777" w:rsidR="007A5EF9" w:rsidRPr="00DB2731" w:rsidRDefault="007A5EF9" w:rsidP="007A5EF9">
      <w:pPr>
        <w:ind w:right="759"/>
        <w:jc w:val="both"/>
        <w:rPr>
          <w:rFonts w:ascii="gobCL" w:hAnsi="gobCL" w:cs="Arial"/>
          <w:b/>
          <w:sz w:val="20"/>
          <w:szCs w:val="20"/>
        </w:rPr>
      </w:pPr>
    </w:p>
    <w:p w14:paraId="03420121" w14:textId="77777777" w:rsidR="007A5EF9" w:rsidRPr="00DB2731" w:rsidRDefault="007A5EF9" w:rsidP="007A5EF9">
      <w:pPr>
        <w:pStyle w:val="Textoindependiente"/>
        <w:spacing w:before="21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 xml:space="preserve">El día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u w:val="single"/>
        </w:rPr>
        <w:t xml:space="preserve">          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 xml:space="preserve">de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u w:val="single"/>
        </w:rPr>
        <w:t xml:space="preserve">                            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>del año 20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u w:val="single"/>
        </w:rPr>
        <w:t xml:space="preserve">           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 xml:space="preserve">, se realizará la vacunación a los/as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escolares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>de 4° año básico.</w:t>
      </w:r>
    </w:p>
    <w:p w14:paraId="1631FAE6" w14:textId="77777777" w:rsidR="007A5EF9" w:rsidRPr="00DB2731" w:rsidRDefault="007A5EF9" w:rsidP="007A5EF9">
      <w:pPr>
        <w:pStyle w:val="Textoindependiente"/>
        <w:spacing w:before="179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  <w:t xml:space="preserve">Si su hijo/a no asiste a un establecimiento educacional o por alguna razón no recibió la vacuna, puede acudir a alguno de los vacunatorios públicos y privados en convenio del país. </w:t>
      </w:r>
    </w:p>
    <w:p w14:paraId="79D6BFB8" w14:textId="77777777" w:rsidR="007A5EF9" w:rsidRPr="00DB2731" w:rsidRDefault="007A5EF9" w:rsidP="007A5EF9">
      <w:pPr>
        <w:pStyle w:val="Textoindependiente"/>
        <w:spacing w:before="179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  <w:lang w:val="es-CL"/>
        </w:rPr>
      </w:pPr>
    </w:p>
    <w:p w14:paraId="16730DF8" w14:textId="77777777" w:rsidR="007A5EF9" w:rsidRPr="00DB2731" w:rsidRDefault="007A5EF9" w:rsidP="007A5EF9">
      <w:pPr>
        <w:ind w:right="759"/>
        <w:jc w:val="both"/>
        <w:rPr>
          <w:rFonts w:ascii="gobCL" w:hAnsi="gobCL" w:cs="Arial"/>
          <w:b/>
          <w:sz w:val="20"/>
          <w:szCs w:val="20"/>
        </w:rPr>
      </w:pPr>
      <w:r w:rsidRPr="00DB2731">
        <w:rPr>
          <w:rFonts w:ascii="gobCL" w:hAnsi="gobCL" w:cs="Arial"/>
          <w:b/>
          <w:sz w:val="20"/>
          <w:szCs w:val="20"/>
        </w:rPr>
        <w:t>¿Qué establecimiento de salud es el responsable de la vacunación?</w:t>
      </w:r>
    </w:p>
    <w:p w14:paraId="56EBA75A" w14:textId="77777777" w:rsidR="007A5EF9" w:rsidRPr="00DB2731" w:rsidRDefault="007A5EF9" w:rsidP="007A5EF9">
      <w:pPr>
        <w:ind w:right="759"/>
        <w:jc w:val="both"/>
        <w:rPr>
          <w:rFonts w:ascii="gobCL" w:hAnsi="gobCL" w:cs="Arial"/>
          <w:b/>
          <w:sz w:val="20"/>
          <w:szCs w:val="20"/>
        </w:rPr>
      </w:pPr>
    </w:p>
    <w:p w14:paraId="298013BE" w14:textId="77777777" w:rsidR="007A5EF9" w:rsidRPr="00DB2731" w:rsidRDefault="007A5EF9" w:rsidP="007A5EF9">
      <w:pPr>
        <w:pStyle w:val="Textoindependiente"/>
        <w:tabs>
          <w:tab w:val="left" w:pos="9650"/>
        </w:tabs>
        <w:spacing w:before="25"/>
        <w:ind w:right="759"/>
        <w:jc w:val="both"/>
        <w:rPr>
          <w:rFonts w:ascii="gobCL" w:hAnsi="gobCL" w:cs="Arial"/>
          <w:b w:val="0"/>
          <w:bCs/>
          <w:spacing w:val="-8"/>
          <w:sz w:val="20"/>
          <w:szCs w:val="20"/>
        </w:rPr>
      </w:pP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 xml:space="preserve">Equipo de vacunación del CESFAM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</w:t>
      </w:r>
      <w:r w:rsidRPr="00DB2731">
        <w:rPr>
          <w:rFonts w:ascii="gobCL" w:hAnsi="gobCL" w:cs="Arial"/>
          <w:b w:val="0"/>
          <w:bCs/>
          <w:spacing w:val="-8"/>
          <w:sz w:val="20"/>
          <w:szCs w:val="20"/>
        </w:rPr>
        <w:t>.</w:t>
      </w:r>
    </w:p>
    <w:p w14:paraId="31823704" w14:textId="77777777" w:rsidR="007A5EF9" w:rsidRPr="00DB2731" w:rsidRDefault="007A5EF9" w:rsidP="007A5EF9">
      <w:pPr>
        <w:pStyle w:val="Textoindependiente"/>
        <w:tabs>
          <w:tab w:val="left" w:pos="1400"/>
          <w:tab w:val="left" w:pos="3611"/>
          <w:tab w:val="left" w:pos="5045"/>
        </w:tabs>
        <w:spacing w:before="37"/>
        <w:ind w:right="759"/>
        <w:jc w:val="left"/>
        <w:rPr>
          <w:rFonts w:ascii="gobCL" w:hAnsi="gobCL" w:cs="Arial"/>
          <w:b w:val="0"/>
          <w:bCs/>
          <w:w w:val="95"/>
          <w:sz w:val="20"/>
          <w:szCs w:val="20"/>
        </w:rPr>
      </w:pPr>
    </w:p>
    <w:p w14:paraId="5F08C5BA" w14:textId="4750B395" w:rsidR="00EE41ED" w:rsidRPr="00DB2731" w:rsidRDefault="007A5EF9" w:rsidP="007A5EF9">
      <w:pPr>
        <w:pStyle w:val="Textoindependiente"/>
        <w:tabs>
          <w:tab w:val="left" w:pos="1400"/>
          <w:tab w:val="left" w:pos="3611"/>
          <w:tab w:val="left" w:pos="5045"/>
        </w:tabs>
        <w:spacing w:before="37"/>
        <w:ind w:right="759"/>
        <w:jc w:val="left"/>
        <w:rPr>
          <w:rFonts w:ascii="gobCL" w:hAnsi="gobCL"/>
        </w:rPr>
      </w:pPr>
      <w:r w:rsidRPr="00DB2731">
        <w:rPr>
          <w:rFonts w:ascii="gobCL" w:hAnsi="gobCL" w:cs="Arial"/>
          <w:b w:val="0"/>
          <w:bCs/>
          <w:w w:val="95"/>
          <w:sz w:val="20"/>
          <w:szCs w:val="20"/>
        </w:rPr>
        <w:t>Fecha:</w:t>
      </w:r>
      <w:r w:rsidRPr="00DB2731">
        <w:rPr>
          <w:rFonts w:ascii="gobCL" w:hAnsi="gobCL" w:cs="Arial"/>
          <w:b w:val="0"/>
          <w:bCs/>
          <w:spacing w:val="-7"/>
          <w:w w:val="95"/>
          <w:sz w:val="20"/>
          <w:szCs w:val="20"/>
        </w:rPr>
        <w:t xml:space="preserve"> </w:t>
      </w:r>
      <w:r w:rsidRPr="00DB2731">
        <w:rPr>
          <w:rFonts w:ascii="gobCL" w:hAnsi="gobCL" w:cs="Arial"/>
          <w:b w:val="0"/>
          <w:bCs/>
          <w:sz w:val="20"/>
          <w:szCs w:val="20"/>
          <w:u w:val="single" w:color="58595B"/>
        </w:rPr>
        <w:tab/>
        <w:t xml:space="preserve">                            </w:t>
      </w:r>
      <w:r w:rsidRPr="00DB2731">
        <w:rPr>
          <w:rFonts w:ascii="gobCL" w:hAnsi="gobCL" w:cs="Arial"/>
          <w:b w:val="0"/>
          <w:bCs/>
          <w:w w:val="95"/>
          <w:sz w:val="20"/>
          <w:szCs w:val="20"/>
        </w:rPr>
        <w:t>de</w:t>
      </w:r>
      <w:r w:rsidRPr="00DB2731">
        <w:rPr>
          <w:rFonts w:ascii="gobCL" w:hAnsi="gobCL" w:cs="Arial"/>
          <w:b w:val="0"/>
          <w:bCs/>
          <w:spacing w:val="-7"/>
          <w:w w:val="95"/>
          <w:sz w:val="20"/>
          <w:szCs w:val="20"/>
        </w:rPr>
        <w:t xml:space="preserve"> </w:t>
      </w:r>
      <w:r w:rsidRPr="00DB2731">
        <w:rPr>
          <w:rFonts w:ascii="gobCL" w:hAnsi="gobCL" w:cs="Arial"/>
          <w:b w:val="0"/>
          <w:bCs/>
          <w:sz w:val="20"/>
          <w:szCs w:val="20"/>
          <w:u w:val="single" w:color="58595B"/>
        </w:rPr>
        <w:tab/>
        <w:t xml:space="preserve">                                             </w:t>
      </w:r>
      <w:r w:rsidRPr="00DB2731">
        <w:rPr>
          <w:rFonts w:ascii="gobCL" w:hAnsi="gobCL" w:cs="Arial"/>
          <w:b w:val="0"/>
          <w:bCs/>
          <w:w w:val="90"/>
          <w:sz w:val="20"/>
          <w:szCs w:val="20"/>
        </w:rPr>
        <w:t>del</w:t>
      </w:r>
      <w:r w:rsidRPr="00DB2731">
        <w:rPr>
          <w:rFonts w:ascii="gobCL" w:hAnsi="gobCL" w:cs="Arial"/>
          <w:b w:val="0"/>
          <w:bCs/>
          <w:spacing w:val="-3"/>
          <w:w w:val="90"/>
          <w:sz w:val="20"/>
          <w:szCs w:val="20"/>
        </w:rPr>
        <w:t xml:space="preserve"> </w:t>
      </w:r>
      <w:r w:rsidRPr="00DB2731">
        <w:rPr>
          <w:rFonts w:ascii="gobCL" w:hAnsi="gobCL" w:cs="Arial"/>
          <w:b w:val="0"/>
          <w:bCs/>
          <w:w w:val="90"/>
          <w:sz w:val="20"/>
          <w:szCs w:val="20"/>
        </w:rPr>
        <w:t>año</w:t>
      </w:r>
      <w:r w:rsidRPr="00DB2731">
        <w:rPr>
          <w:rFonts w:ascii="gobCL" w:hAnsi="gobCL" w:cs="Arial"/>
          <w:b w:val="0"/>
          <w:bCs/>
          <w:spacing w:val="-3"/>
          <w:w w:val="90"/>
          <w:sz w:val="20"/>
          <w:szCs w:val="20"/>
        </w:rPr>
        <w:t xml:space="preserve"> </w:t>
      </w:r>
      <w:r w:rsidRPr="00DB2731">
        <w:rPr>
          <w:rFonts w:ascii="gobCL" w:hAnsi="gobCL" w:cs="Arial"/>
          <w:b w:val="0"/>
          <w:bCs/>
          <w:spacing w:val="-5"/>
          <w:w w:val="90"/>
          <w:sz w:val="20"/>
          <w:szCs w:val="20"/>
        </w:rPr>
        <w:t xml:space="preserve">20 </w:t>
      </w:r>
      <w:r w:rsidRPr="00DB2731">
        <w:rPr>
          <w:rFonts w:ascii="gobCL" w:hAnsi="gobCL" w:cs="Arial"/>
          <w:b w:val="0"/>
          <w:bCs/>
          <w:sz w:val="20"/>
          <w:szCs w:val="20"/>
          <w:u w:val="single" w:color="58595B"/>
        </w:rPr>
        <w:tab/>
        <w:t xml:space="preserve">      </w:t>
      </w:r>
      <w:r w:rsidRPr="00DB2731">
        <w:rPr>
          <w:rFonts w:ascii="gobCL" w:hAnsi="gobCL" w:cs="Arial"/>
          <w:b w:val="0"/>
          <w:bCs/>
          <w:spacing w:val="-10"/>
          <w:w w:val="70"/>
          <w:sz w:val="20"/>
          <w:szCs w:val="20"/>
        </w:rPr>
        <w:t>.</w:t>
      </w:r>
    </w:p>
    <w:sectPr w:rsidR="00EE41ED" w:rsidRPr="00DB2731" w:rsidSect="00A74DBD">
      <w:headerReference w:type="even" r:id="rId7"/>
      <w:headerReference w:type="default" r:id="rId8"/>
      <w:footerReference w:type="even" r:id="rId9"/>
      <w:footerReference w:type="default" r:id="rId10"/>
      <w:pgSz w:w="12240" w:h="20160"/>
      <w:pgMar w:top="1123" w:right="474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FD39" w14:textId="77777777" w:rsidR="003D60B7" w:rsidRDefault="003D60B7">
      <w:r>
        <w:separator/>
      </w:r>
    </w:p>
  </w:endnote>
  <w:endnote w:type="continuationSeparator" w:id="0">
    <w:p w14:paraId="79617F22" w14:textId="77777777" w:rsidR="003D60B7" w:rsidRDefault="003D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bCL"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Trebuchet MS">
    <w:panose1 w:val="020B0603020202020204"/>
    <w:charset w:val="0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9BAB" w14:textId="77777777" w:rsidR="003905D8" w:rsidRDefault="003905D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AB95804" wp14:editId="137279E8">
              <wp:simplePos x="0" y="0"/>
              <wp:positionH relativeFrom="page">
                <wp:posOffset>0</wp:posOffset>
              </wp:positionH>
              <wp:positionV relativeFrom="page">
                <wp:posOffset>9835197</wp:posOffset>
              </wp:positionV>
              <wp:extent cx="619125" cy="223520"/>
              <wp:effectExtent l="0" t="0" r="0" b="0"/>
              <wp:wrapNone/>
              <wp:docPr id="500" name="Group 5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9125" cy="223520"/>
                        <a:chOff x="0" y="0"/>
                        <a:chExt cx="619125" cy="223520"/>
                      </a:xfrm>
                    </wpg:grpSpPr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25400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223520">
                              <a:moveTo>
                                <a:pt x="0" y="223202"/>
                              </a:moveTo>
                              <a:lnTo>
                                <a:pt x="253441" y="223202"/>
                              </a:lnTo>
                              <a:lnTo>
                                <a:pt x="253441" y="0"/>
                              </a:lnTo>
                              <a:lnTo>
                                <a:pt x="0" y="0"/>
                              </a:lnTo>
                              <a:lnTo>
                                <a:pt x="0" y="223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" name="Graphic 502"/>
                      <wps:cNvSpPr/>
                      <wps:spPr>
                        <a:xfrm>
                          <a:off x="253441" y="0"/>
                          <a:ext cx="36576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223520">
                              <a:moveTo>
                                <a:pt x="365188" y="0"/>
                              </a:moveTo>
                              <a:lnTo>
                                <a:pt x="0" y="0"/>
                              </a:lnTo>
                              <a:lnTo>
                                <a:pt x="0" y="223202"/>
                              </a:lnTo>
                              <a:lnTo>
                                <a:pt x="365188" y="223202"/>
                              </a:lnTo>
                              <a:lnTo>
                                <a:pt x="365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0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07EAA2" id="Group 500" o:spid="_x0000_s1026" style="position:absolute;margin-left:0;margin-top:774.4pt;width:48.75pt;height:17.6pt;z-index:-251657216;mso-wrap-distance-left:0;mso-wrap-distance-right:0;mso-position-horizontal-relative:page;mso-position-vertical-relative:page" coordsize="6191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">
              <v:shape id="Graphic 501" o:spid="_x0000_s1027" style="position:absolute;width:2540;height:2235;visibility:visible;mso-wrap-style:square;v-text-anchor:top" coordsize="25400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" path="m,223202r253441,l253441,,,,,223202xe" fillcolor="#006cb7" stroked="f">
                <v:path arrowok="t"/>
              </v:shape>
              <v:shape id="Graphic 502" o:spid="_x0000_s1028" style="position:absolute;left:2534;width:3658;height:2235;visibility:visible;mso-wrap-style:square;v-text-anchor:top" coordsize="36576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" path="m365188,l,,,223202r365188,l365188,xe" fillcolor="#ef4044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74B3" w14:textId="39D72CAD" w:rsidR="003905D8" w:rsidRDefault="00DB273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0ED9B2A8" wp14:editId="548EE18E">
              <wp:simplePos x="0" y="0"/>
              <wp:positionH relativeFrom="page">
                <wp:posOffset>7281545</wp:posOffset>
              </wp:positionH>
              <wp:positionV relativeFrom="page">
                <wp:posOffset>12611864</wp:posOffset>
              </wp:positionV>
              <wp:extent cx="615950" cy="223520"/>
              <wp:effectExtent l="0" t="0" r="0" b="0"/>
              <wp:wrapNone/>
              <wp:docPr id="5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5950" cy="223520"/>
                        <a:chOff x="0" y="0"/>
                        <a:chExt cx="615950" cy="223520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5400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223520">
                              <a:moveTo>
                                <a:pt x="253441" y="0"/>
                              </a:moveTo>
                              <a:lnTo>
                                <a:pt x="0" y="0"/>
                              </a:lnTo>
                              <a:lnTo>
                                <a:pt x="0" y="223202"/>
                              </a:lnTo>
                              <a:lnTo>
                                <a:pt x="253441" y="223202"/>
                              </a:lnTo>
                              <a:lnTo>
                                <a:pt x="253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253441" y="0"/>
                          <a:ext cx="362585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223520">
                              <a:moveTo>
                                <a:pt x="0" y="223202"/>
                              </a:moveTo>
                              <a:lnTo>
                                <a:pt x="0" y="0"/>
                              </a:lnTo>
                              <a:lnTo>
                                <a:pt x="361975" y="0"/>
                              </a:lnTo>
                              <a:lnTo>
                                <a:pt x="361975" y="223202"/>
                              </a:lnTo>
                              <a:lnTo>
                                <a:pt x="0" y="223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0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16337F" id="Group 57" o:spid="_x0000_s1026" style="position:absolute;margin-left:573.35pt;margin-top:993.05pt;width:48.5pt;height:17.6pt;z-index:251662336;mso-wrap-distance-left:0;mso-wrap-distance-right:0;mso-position-horizontal-relative:page;mso-position-vertical-relative:page" coordsize="6159,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">
              <v:shape id="Graphic 58" o:spid="_x0000_s1027" style="position:absolute;width:2540;height:2235;visibility:visible;mso-wrap-style:square;v-text-anchor:top" coordsize="254000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" path="m253441,l,,,223202r253441,l253441,xe" fillcolor="#006cb7" stroked="f">
                <v:path arrowok="t"/>
              </v:shape>
              <v:shape id="Graphic 59" o:spid="_x0000_s1028" style="position:absolute;left:2534;width:3626;height:2235;visibility:visible;mso-wrap-style:square;v-text-anchor:top" coordsize="362585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" path="m,223202l,,361975,r,223202l,223202xe" fillcolor="#ef4044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AA52" w14:textId="77777777" w:rsidR="003D60B7" w:rsidRDefault="003D60B7">
      <w:r>
        <w:separator/>
      </w:r>
    </w:p>
  </w:footnote>
  <w:footnote w:type="continuationSeparator" w:id="0">
    <w:p w14:paraId="388937CC" w14:textId="77777777" w:rsidR="003D60B7" w:rsidRDefault="003D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5F6E" w14:textId="77777777" w:rsidR="003905D8" w:rsidRDefault="003905D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979E7B" wp14:editId="56A7C8E5">
              <wp:simplePos x="0" y="0"/>
              <wp:positionH relativeFrom="page">
                <wp:posOffset>243001</wp:posOffset>
              </wp:positionH>
              <wp:positionV relativeFrom="page">
                <wp:posOffset>393260</wp:posOffset>
              </wp:positionV>
              <wp:extent cx="253365" cy="241300"/>
              <wp:effectExtent l="0" t="0" r="0" b="0"/>
              <wp:wrapNone/>
              <wp:docPr id="498" name="Text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887F0" w14:textId="77777777" w:rsidR="003905D8" w:rsidRDefault="003905D8">
                          <w:pPr>
                            <w:spacing w:before="38"/>
                            <w:ind w:left="60"/>
                          </w:pPr>
                          <w:r>
                            <w:rPr>
                              <w:color w:val="006CB7"/>
                              <w:spacing w:val="-5"/>
                              <w:u w:val="single" w:color="006CB7"/>
                            </w:rPr>
                            <w:fldChar w:fldCharType="begin"/>
                          </w:r>
                          <w:r>
                            <w:rPr>
                              <w:color w:val="006CB7"/>
                              <w:spacing w:val="-5"/>
                              <w:u w:val="single" w:color="006CB7"/>
                            </w:rPr>
                            <w:instrText xml:space="preserve"> PAGE </w:instrText>
                          </w:r>
                          <w:r>
                            <w:rPr>
                              <w:color w:val="006CB7"/>
                              <w:spacing w:val="-5"/>
                              <w:u w:val="single" w:color="006CB7"/>
                            </w:rPr>
                            <w:fldChar w:fldCharType="separate"/>
                          </w:r>
                          <w:r>
                            <w:rPr>
                              <w:color w:val="006CB7"/>
                              <w:spacing w:val="-5"/>
                              <w:u w:val="single" w:color="006CB7"/>
                            </w:rPr>
                            <w:t>60</w:t>
                          </w:r>
                          <w:r>
                            <w:rPr>
                              <w:color w:val="006CB7"/>
                              <w:spacing w:val="-5"/>
                              <w:u w:val="single" w:color="006CB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79E7B" id="_x0000_t202" coordsize="21600,21600" o:spt="202" path="m,l,21600r21600,l21600,xe">
              <v:stroke joinstyle="miter"/>
              <v:path gradientshapeok="t" o:connecttype="rect"/>
            </v:shapetype>
            <v:shape id="Textbox 498" o:spid="_x0000_s1026" type="#_x0000_t202" style="position:absolute;left:0;text-align:left;margin-left:19.15pt;margin-top:30.95pt;width:19.95pt;height:1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" filled="f" stroked="f">
              <v:textbox inset="0,0,0,0">
                <w:txbxContent>
                  <w:p w14:paraId="390887F0" w14:textId="77777777" w:rsidR="003905D8" w:rsidRDefault="003905D8">
                    <w:pPr>
                      <w:spacing w:before="38"/>
                      <w:ind w:left="60"/>
                    </w:pPr>
                    <w:r>
                      <w:rPr>
                        <w:color w:val="006CB7"/>
                        <w:spacing w:val="-5"/>
                        <w:u w:val="single" w:color="006CB7"/>
                      </w:rPr>
                      <w:fldChar w:fldCharType="begin"/>
                    </w:r>
                    <w:r>
                      <w:rPr>
                        <w:color w:val="006CB7"/>
                        <w:spacing w:val="-5"/>
                        <w:u w:val="single" w:color="006CB7"/>
                      </w:rPr>
                      <w:instrText xml:space="preserve"> PAGE </w:instrText>
                    </w:r>
                    <w:r>
                      <w:rPr>
                        <w:color w:val="006CB7"/>
                        <w:spacing w:val="-5"/>
                        <w:u w:val="single" w:color="006CB7"/>
                      </w:rPr>
                      <w:fldChar w:fldCharType="separate"/>
                    </w:r>
                    <w:r>
                      <w:rPr>
                        <w:color w:val="006CB7"/>
                        <w:spacing w:val="-5"/>
                        <w:u w:val="single" w:color="006CB7"/>
                      </w:rPr>
                      <w:t>60</w:t>
                    </w:r>
                    <w:r>
                      <w:rPr>
                        <w:color w:val="006CB7"/>
                        <w:spacing w:val="-5"/>
                        <w:u w:val="single" w:color="006CB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EED3" w14:textId="1B0096E2" w:rsidR="003905D8" w:rsidRDefault="00DB2731">
    <w:pPr>
      <w:pStyle w:val="Textoindependiente"/>
      <w:spacing w:line="14" w:lineRule="auto"/>
      <w:rPr>
        <w:sz w:val="20"/>
      </w:rPr>
    </w:pPr>
    <w:r>
      <w:rPr>
        <w:rFonts w:ascii="Times New Roman"/>
        <w:noProof/>
        <w:sz w:val="8"/>
      </w:rPr>
      <w:drawing>
        <wp:anchor distT="0" distB="0" distL="0" distR="0" simplePos="0" relativeHeight="251660288" behindDoc="0" locked="0" layoutInCell="1" allowOverlap="1" wp14:anchorId="00A91B45" wp14:editId="18B1E391">
          <wp:simplePos x="0" y="0"/>
          <wp:positionH relativeFrom="page">
            <wp:posOffset>540542</wp:posOffset>
          </wp:positionH>
          <wp:positionV relativeFrom="paragraph">
            <wp:posOffset>-240859</wp:posOffset>
          </wp:positionV>
          <wp:extent cx="666427" cy="596685"/>
          <wp:effectExtent l="0" t="0" r="0" b="635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427" cy="59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5FC"/>
    <w:multiLevelType w:val="hybridMultilevel"/>
    <w:tmpl w:val="6C0A5C22"/>
    <w:lvl w:ilvl="0" w:tplc="340A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" w15:restartNumberingAfterBreak="0">
    <w:nsid w:val="1ABA18E0"/>
    <w:multiLevelType w:val="hybridMultilevel"/>
    <w:tmpl w:val="FE6E5454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303BA3"/>
    <w:multiLevelType w:val="hybridMultilevel"/>
    <w:tmpl w:val="4E1E3F48"/>
    <w:lvl w:ilvl="0" w:tplc="340A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" w15:restartNumberingAfterBreak="0">
    <w:nsid w:val="265A73C6"/>
    <w:multiLevelType w:val="hybridMultilevel"/>
    <w:tmpl w:val="76A28CBC"/>
    <w:lvl w:ilvl="0" w:tplc="340A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33324B33"/>
    <w:multiLevelType w:val="hybridMultilevel"/>
    <w:tmpl w:val="5A782004"/>
    <w:lvl w:ilvl="0" w:tplc="34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2007902797">
    <w:abstractNumId w:val="1"/>
  </w:num>
  <w:num w:numId="2" w16cid:durableId="824901961">
    <w:abstractNumId w:val="0"/>
  </w:num>
  <w:num w:numId="3" w16cid:durableId="723062538">
    <w:abstractNumId w:val="2"/>
  </w:num>
  <w:num w:numId="4" w16cid:durableId="1057822411">
    <w:abstractNumId w:val="3"/>
  </w:num>
  <w:num w:numId="5" w16cid:durableId="174543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F9"/>
    <w:rsid w:val="003276E9"/>
    <w:rsid w:val="003905D8"/>
    <w:rsid w:val="003D60B7"/>
    <w:rsid w:val="004D0A37"/>
    <w:rsid w:val="005E3E3B"/>
    <w:rsid w:val="007A5EF9"/>
    <w:rsid w:val="008C66E5"/>
    <w:rsid w:val="00A74DBD"/>
    <w:rsid w:val="00AE57A0"/>
    <w:rsid w:val="00DB2731"/>
    <w:rsid w:val="00E2215C"/>
    <w:rsid w:val="00E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0B14"/>
  <w15:chartTrackingRefBased/>
  <w15:docId w15:val="{788B8493-938B-404C-A566-24F05454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wcp_Heading2,Heading2_Titre2,Heading2_titre2"/>
    <w:basedOn w:val="Normal"/>
    <w:next w:val="Normal"/>
    <w:link w:val="Ttulo2Car"/>
    <w:unhideWhenUsed/>
    <w:qFormat/>
    <w:rsid w:val="007A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wcp_Heading3,Heading3_Titre3,Arial 12 Fett"/>
    <w:basedOn w:val="Normal"/>
    <w:next w:val="Normal"/>
    <w:link w:val="Ttulo3Car"/>
    <w:unhideWhenUsed/>
    <w:qFormat/>
    <w:rsid w:val="007A5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5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5E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5E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5E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5E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aliases w:val="wcp_Heading2 Car,Heading2_Titre2 Car,Heading2_titre2 Car"/>
    <w:basedOn w:val="Fuentedeprrafopredeter"/>
    <w:link w:val="Ttulo2"/>
    <w:rsid w:val="007A5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wcp_Heading3 Car,Heading3_Titre3 Car,Arial 12 Fett Car"/>
    <w:basedOn w:val="Fuentedeprrafopredeter"/>
    <w:link w:val="Ttulo3"/>
    <w:rsid w:val="007A5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5E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5E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5E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5E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5E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5E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5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5EF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A5E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5E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5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5E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5EF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7A5EF9"/>
    <w:pPr>
      <w:jc w:val="center"/>
    </w:pPr>
    <w:rPr>
      <w:rFonts w:ascii="Arial" w:hAnsi="Arial"/>
      <w:b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7A5EF9"/>
    <w:rPr>
      <w:rFonts w:ascii="Arial" w:eastAsia="Times New Roman" w:hAnsi="Arial" w:cs="Times New Roman"/>
      <w:b/>
      <w:kern w:val="0"/>
      <w:sz w:val="24"/>
      <w:szCs w:val="24"/>
      <w:lang w:val="es-MX" w:eastAsia="es-ES"/>
      <w14:ligatures w14:val="none"/>
    </w:rPr>
  </w:style>
  <w:style w:type="paragraph" w:customStyle="1" w:styleId="Default">
    <w:name w:val="Default"/>
    <w:rsid w:val="007A5E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CL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rsid w:val="007A5EF9"/>
  </w:style>
  <w:style w:type="paragraph" w:styleId="Encabezado">
    <w:name w:val="header"/>
    <w:basedOn w:val="Normal"/>
    <w:link w:val="EncabezadoCar"/>
    <w:uiPriority w:val="99"/>
    <w:unhideWhenUsed/>
    <w:rsid w:val="00DB27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73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27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73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Garabito Rosales</dc:creator>
  <cp:keywords/>
  <dc:description/>
  <cp:lastModifiedBy>Christian Ignacio Saavedra</cp:lastModifiedBy>
  <cp:revision>3</cp:revision>
  <dcterms:created xsi:type="dcterms:W3CDTF">2025-06-23T21:06:00Z</dcterms:created>
  <dcterms:modified xsi:type="dcterms:W3CDTF">2025-06-25T18:08:00Z</dcterms:modified>
</cp:coreProperties>
</file>