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EEF0" w14:textId="77777777" w:rsidR="00C27CC1" w:rsidRPr="000E2D82" w:rsidRDefault="00C27CC1" w:rsidP="00C27CC1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0E2D82">
        <w:rPr>
          <w:rFonts w:ascii="gobCL" w:eastAsia="Tahoma" w:hAnsi="gobCL" w:cs="Arial"/>
          <w:b w:val="0"/>
          <w:spacing w:val="-8"/>
          <w:sz w:val="28"/>
          <w:szCs w:val="28"/>
        </w:rPr>
        <w:t xml:space="preserve">Carta para padres, apoderados y/o tutores sobre </w:t>
      </w:r>
    </w:p>
    <w:p w14:paraId="1430F7C7" w14:textId="455D6AED" w:rsidR="00C27CC1" w:rsidRPr="000E2D82" w:rsidRDefault="00C27CC1" w:rsidP="00C27CC1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0E2D82">
        <w:rPr>
          <w:rFonts w:ascii="gobCL" w:eastAsia="Tahoma" w:hAnsi="gobCL" w:cs="Arial"/>
          <w:b w:val="0"/>
          <w:spacing w:val="-8"/>
          <w:sz w:val="28"/>
          <w:szCs w:val="28"/>
        </w:rPr>
        <w:t xml:space="preserve">Puesta al día de Vacunación contra VPH en escolares de </w:t>
      </w:r>
      <w:r w:rsidR="000E2D82" w:rsidRPr="000E2D82">
        <w:rPr>
          <w:rFonts w:ascii="gobCL" w:eastAsia="Tahoma" w:hAnsi="gobCL" w:cs="Arial"/>
          <w:b w:val="0"/>
          <w:spacing w:val="-8"/>
          <w:sz w:val="28"/>
          <w:szCs w:val="28"/>
        </w:rPr>
        <w:t>5</w:t>
      </w:r>
      <w:r w:rsidRPr="000E2D82">
        <w:rPr>
          <w:rFonts w:ascii="gobCL" w:eastAsia="Tahoma" w:hAnsi="gobCL" w:cs="Arial"/>
          <w:b w:val="0"/>
          <w:spacing w:val="-8"/>
          <w:sz w:val="28"/>
          <w:szCs w:val="28"/>
        </w:rPr>
        <w:t>° año básico 2025</w:t>
      </w:r>
    </w:p>
    <w:p w14:paraId="217C1371" w14:textId="2085A07C" w:rsidR="00CC4FA4" w:rsidRPr="000E2D82" w:rsidRDefault="00CC4FA4" w:rsidP="00C27CC1">
      <w:pPr>
        <w:pStyle w:val="Ttulo"/>
        <w:spacing w:line="192" w:lineRule="auto"/>
        <w:ind w:left="0" w:right="15" w:firstLine="0"/>
        <w:jc w:val="center"/>
        <w:rPr>
          <w:rFonts w:ascii="gobCL" w:eastAsia="Tahoma" w:hAnsi="gobCL" w:cs="Arial"/>
          <w:b w:val="0"/>
          <w:spacing w:val="-8"/>
          <w:sz w:val="28"/>
          <w:szCs w:val="28"/>
        </w:rPr>
      </w:pPr>
      <w:r w:rsidRPr="000E2D82">
        <w:rPr>
          <w:rFonts w:ascii="gobCL" w:eastAsia="Tahoma" w:hAnsi="gobCL" w:cs="Arial"/>
          <w:b w:val="0"/>
          <w:spacing w:val="-8"/>
          <w:sz w:val="28"/>
          <w:szCs w:val="28"/>
        </w:rPr>
        <w:t xml:space="preserve"> </w:t>
      </w:r>
    </w:p>
    <w:p w14:paraId="65826188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Estimados padres, apoderados y/o tutores:</w:t>
      </w:r>
    </w:p>
    <w:p w14:paraId="55E47B64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395E9521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Junto con saludar informo a Usted, que durante el segundo semestre de este año 2025, se realiza la puesta al día de los escolares que actualmente están cursando </w:t>
      </w:r>
      <w:r w:rsidRPr="000E2D82">
        <w:rPr>
          <w:rFonts w:ascii="gobCL" w:hAnsi="gobCL" w:cs="Arial"/>
          <w:b/>
          <w:spacing w:val="-8"/>
          <w:sz w:val="22"/>
          <w:szCs w:val="22"/>
        </w:rPr>
        <w:t xml:space="preserve">5° año básico, </w:t>
      </w: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los que corresponden a la cohorte de 4° año que recibió vacuna VPH nonavalente durante el 2024 y no fueron vacunados con dosis única por algún motivo. </w:t>
      </w:r>
    </w:p>
    <w:p w14:paraId="7C8BD8BE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1C06F559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El objetivo sanitario de la intervención es prevenir las enfermedades y muertes causadas por Virus Papiloma Humano (VPH), a través de la administración de vacuna VPH nonavalente que protege contra los serotipos 6, 11, 16, 18, 31, 33, 45, 52 y 58. A continuación se señalan las enfermedades más comunes que causa este virus: </w:t>
      </w:r>
    </w:p>
    <w:p w14:paraId="51FF28A1" w14:textId="77777777" w:rsidR="000E2D82" w:rsidRPr="000E2D82" w:rsidRDefault="000E2D82" w:rsidP="000E2D82">
      <w:pPr>
        <w:pStyle w:val="Textoindependiente"/>
        <w:spacing w:line="264" w:lineRule="auto"/>
        <w:ind w:right="15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44C68566" w14:textId="77777777" w:rsidR="000E2D82" w:rsidRPr="000E2D82" w:rsidRDefault="000E2D82" w:rsidP="000E2D82">
      <w:pPr>
        <w:pStyle w:val="Default"/>
        <w:numPr>
          <w:ilvl w:val="0"/>
          <w:numId w:val="9"/>
        </w:numPr>
        <w:ind w:left="426" w:right="15"/>
        <w:jc w:val="both"/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</w:pPr>
      <w:r w:rsidRPr="000E2D82">
        <w:rPr>
          <w:rFonts w:ascii="gobCL" w:eastAsia="Tahoma" w:hAnsi="gobCL" w:cs="Arial"/>
          <w:b/>
          <w:color w:val="auto"/>
          <w:spacing w:val="-8"/>
          <w:sz w:val="22"/>
          <w:szCs w:val="22"/>
          <w:lang w:val="es-ES" w:eastAsia="en-US"/>
        </w:rPr>
        <w:t>Cáncer genital:</w:t>
      </w:r>
      <w:r w:rsidRPr="000E2D82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 xml:space="preserve"> Son producidos por la infección con genotipos de VPH de alto riesgo (VPH 16, 18, 31, 33, 45, 52 y 58), y pueden provocar cáncer de cuello del útero, vaginal, vulva, cáncer anal, y cáncer en la garganta o boca. En las mujeres, el cáncer de cuello del útero es responsable de más de 600 defunciones al año y es la segunda causa de muerte por cáncer en mujeres en edad adulta en Chile. En hombres el VPH está asociado a cáncer de </w:t>
      </w:r>
      <w:proofErr w:type="spellStart"/>
      <w:r w:rsidRPr="000E2D82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>ano</w:t>
      </w:r>
      <w:proofErr w:type="spellEnd"/>
      <w:r w:rsidRPr="000E2D82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 xml:space="preserve">, pene y algunos tipos de cáncer de boca y faringe. </w:t>
      </w:r>
    </w:p>
    <w:p w14:paraId="0EF87CE3" w14:textId="77777777" w:rsidR="000E2D82" w:rsidRPr="000E2D82" w:rsidRDefault="000E2D82" w:rsidP="000E2D82">
      <w:pPr>
        <w:pStyle w:val="Default"/>
        <w:ind w:right="15"/>
        <w:jc w:val="both"/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</w:pPr>
    </w:p>
    <w:p w14:paraId="6DDBDA57" w14:textId="77777777" w:rsidR="000E2D82" w:rsidRPr="000E2D82" w:rsidRDefault="000E2D82" w:rsidP="000E2D82">
      <w:pPr>
        <w:pStyle w:val="Default"/>
        <w:numPr>
          <w:ilvl w:val="0"/>
          <w:numId w:val="9"/>
        </w:numPr>
        <w:ind w:left="426" w:right="15"/>
        <w:jc w:val="both"/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</w:pPr>
      <w:r w:rsidRPr="000E2D82">
        <w:rPr>
          <w:rFonts w:ascii="gobCL" w:eastAsia="Tahoma" w:hAnsi="gobCL" w:cs="Arial"/>
          <w:b/>
          <w:color w:val="auto"/>
          <w:spacing w:val="-8"/>
          <w:sz w:val="22"/>
          <w:szCs w:val="22"/>
          <w:lang w:val="es-ES" w:eastAsia="en-US"/>
        </w:rPr>
        <w:t>Verrugas genitales:</w:t>
      </w:r>
      <w:r w:rsidRPr="000E2D82">
        <w:rPr>
          <w:rFonts w:ascii="gobCL" w:eastAsia="Tahoma" w:hAnsi="gobCL" w:cs="Arial"/>
          <w:bCs/>
          <w:color w:val="auto"/>
          <w:spacing w:val="-8"/>
          <w:sz w:val="22"/>
          <w:szCs w:val="22"/>
          <w:lang w:val="es-ES" w:eastAsia="en-US"/>
        </w:rPr>
        <w:t xml:space="preserve"> Son producidas por la infección con genotipos de VPH bajo riesgo (VPH 6 y 11). Los condilomas son lesiones en la piel y en las membranas mucosas de los genitales. Se pueden encontrar en pene, vulva, uretra, vagina, cuello uterino, así como dentro y alrededor del ano. </w:t>
      </w:r>
    </w:p>
    <w:p w14:paraId="26543F8E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0916FF7C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Esta estrategia beneficia a la totalidad de escolares que viven en Chile, es instruida por el Ministerio de Salud y se realiza en todos los establecimientos educacionales públicos y privados del país. Su administración tiene carácter </w:t>
      </w:r>
      <w:r w:rsidRPr="000E2D82">
        <w:rPr>
          <w:rFonts w:ascii="gobCL" w:hAnsi="gobCL" w:cs="Arial"/>
          <w:b/>
          <w:spacing w:val="-8"/>
          <w:sz w:val="22"/>
          <w:szCs w:val="22"/>
        </w:rPr>
        <w:t>OBLIGATORIO</w:t>
      </w: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 por lo que </w:t>
      </w:r>
      <w:r w:rsidRPr="000E2D82">
        <w:rPr>
          <w:rFonts w:ascii="gobCL" w:hAnsi="gobCL" w:cs="Arial"/>
          <w:b/>
          <w:spacing w:val="-8"/>
          <w:sz w:val="22"/>
          <w:szCs w:val="22"/>
        </w:rPr>
        <w:t>NO REQUIERE</w:t>
      </w: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 autorización por medio de firma de consentimiento informado de los padres y/o apoderados, en conformidad con lo establecido en el artículo 32º del Código Sanitario, el Decreto Exento N°50 del 2021 y sus posteriores modificaciones. Por lo anterior, se ha dispuesto la vacunación en establecimientos educacionales públicos y privados del país.</w:t>
      </w:r>
    </w:p>
    <w:p w14:paraId="5253E3CE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775732AB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Las reacciones que se pueden presentar a la vacuna VPH son:</w:t>
      </w:r>
    </w:p>
    <w:p w14:paraId="673FCC58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158F4056" w14:textId="77777777" w:rsidR="000E2D82" w:rsidRPr="000E2D82" w:rsidRDefault="000E2D82" w:rsidP="000E2D82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Enrojecimiento en la zona de punción.</w:t>
      </w:r>
    </w:p>
    <w:p w14:paraId="33A3DA17" w14:textId="77777777" w:rsidR="000E2D82" w:rsidRPr="000E2D82" w:rsidRDefault="000E2D82" w:rsidP="000E2D82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Dolor sitio de punción.</w:t>
      </w:r>
    </w:p>
    <w:p w14:paraId="2FF27CB2" w14:textId="77777777" w:rsidR="000E2D82" w:rsidRPr="000E2D82" w:rsidRDefault="000E2D82" w:rsidP="000E2D82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Aumento de volumen en la zona punción.</w:t>
      </w:r>
    </w:p>
    <w:p w14:paraId="04A6986D" w14:textId="77777777" w:rsidR="000E2D82" w:rsidRPr="000E2D82" w:rsidRDefault="000E2D82" w:rsidP="000E2D82">
      <w:pPr>
        <w:pStyle w:val="Textoindependiente"/>
        <w:numPr>
          <w:ilvl w:val="0"/>
          <w:numId w:val="10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Picazón en la zona de punción.</w:t>
      </w:r>
    </w:p>
    <w:p w14:paraId="06324652" w14:textId="77777777" w:rsidR="000E2D82" w:rsidRPr="000E2D82" w:rsidRDefault="000E2D82" w:rsidP="000E2D82">
      <w:pPr>
        <w:pStyle w:val="Textoindependiente"/>
        <w:tabs>
          <w:tab w:val="left" w:pos="8789"/>
        </w:tabs>
        <w:spacing w:before="197"/>
        <w:ind w:right="15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Considerando todos los antecedentes expuestos, le solicitamos que, en caso de que su hijo/a o pupilo/a, presente alguna condición que amerite precauciones especiales o alguna contraindicación para ser vacunado, informe esta situación a través de un certificado médico y de forma oportuna al profesor jefe del curso.</w:t>
      </w:r>
    </w:p>
    <w:p w14:paraId="51C07E85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60C2A023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0E2D82">
        <w:rPr>
          <w:rFonts w:ascii="gobCL" w:hAnsi="gobCL" w:cs="Arial"/>
          <w:b/>
          <w:spacing w:val="-8"/>
          <w:sz w:val="22"/>
          <w:szCs w:val="22"/>
        </w:rPr>
        <w:t xml:space="preserve">¿Quiénes no deben vacunarse? </w:t>
      </w:r>
    </w:p>
    <w:p w14:paraId="2586472B" w14:textId="77777777" w:rsidR="000E2D82" w:rsidRPr="000E2D82" w:rsidRDefault="000E2D82" w:rsidP="000E2D82">
      <w:pPr>
        <w:pStyle w:val="Textoindependiente"/>
        <w:numPr>
          <w:ilvl w:val="0"/>
          <w:numId w:val="7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Personas que hayan tenido una reacción alérgica </w:t>
      </w:r>
      <w:r w:rsidRPr="000E2D82">
        <w:rPr>
          <w:rFonts w:ascii="gobCL" w:hAnsi="gobCL" w:cs="Arial"/>
          <w:b/>
          <w:spacing w:val="-8"/>
          <w:sz w:val="22"/>
          <w:szCs w:val="22"/>
        </w:rPr>
        <w:t xml:space="preserve">SEVERA </w:t>
      </w:r>
      <w:r w:rsidRPr="000E2D82">
        <w:rPr>
          <w:rFonts w:ascii="gobCL" w:hAnsi="gobCL" w:cs="Arial"/>
          <w:bCs/>
          <w:spacing w:val="-8"/>
          <w:sz w:val="22"/>
          <w:szCs w:val="22"/>
        </w:rPr>
        <w:t>(anafilaxia) a algún componente de la vacuna antes mencionada, en dosis anteriores, evidenciada por médico (certificado médico).</w:t>
      </w:r>
    </w:p>
    <w:p w14:paraId="2B64F80A" w14:textId="77777777" w:rsidR="000E2D82" w:rsidRPr="000E2D82" w:rsidRDefault="000E2D82" w:rsidP="000E2D82">
      <w:pPr>
        <w:pStyle w:val="Textoindependiente"/>
        <w:numPr>
          <w:ilvl w:val="0"/>
          <w:numId w:val="7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Escolares que el año anterior ya hayan recibido esta vacuna única. </w:t>
      </w:r>
    </w:p>
    <w:p w14:paraId="5B8C730B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0E2D82">
        <w:rPr>
          <w:rFonts w:ascii="gobCL" w:hAnsi="gobCL" w:cs="Arial"/>
          <w:b/>
          <w:spacing w:val="-8"/>
          <w:sz w:val="22"/>
          <w:szCs w:val="22"/>
        </w:rPr>
        <w:t xml:space="preserve">¿Quiénes deben esperar un tiempo para vacunarse? </w:t>
      </w:r>
    </w:p>
    <w:p w14:paraId="36265DEA" w14:textId="77777777" w:rsidR="000E2D82" w:rsidRPr="000E2D82" w:rsidRDefault="000E2D82" w:rsidP="000E2D82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Personas que cursen enfermedad aguda </w:t>
      </w:r>
      <w:r w:rsidRPr="000E2D82">
        <w:rPr>
          <w:rFonts w:ascii="gobCL" w:hAnsi="gobCL" w:cs="Arial"/>
          <w:b/>
          <w:spacing w:val="-8"/>
          <w:sz w:val="22"/>
          <w:szCs w:val="22"/>
        </w:rPr>
        <w:t>SEVERA</w:t>
      </w: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, por ejemplo: neumonía, meningitis, sepsis. </w:t>
      </w:r>
    </w:p>
    <w:p w14:paraId="78EDA994" w14:textId="77777777" w:rsidR="000E2D82" w:rsidRPr="000E2D82" w:rsidRDefault="000E2D82" w:rsidP="000E2D82">
      <w:pPr>
        <w:pStyle w:val="Textoindependiente"/>
        <w:numPr>
          <w:ilvl w:val="0"/>
          <w:numId w:val="8"/>
        </w:numPr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Escolares con fiebre mayor a 38,5ºC axilar. </w:t>
      </w:r>
    </w:p>
    <w:p w14:paraId="508F8F39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E764C4F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En ausencia de antecedentes médicos, se asumirá que no existen contraindicaciones ni otros impedimentos, por lo cual se procederá a vacunar a los/as alumnos/as.</w:t>
      </w:r>
    </w:p>
    <w:p w14:paraId="0B5A3AEF" w14:textId="77777777" w:rsid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1ABDEA96" w14:textId="77777777" w:rsid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7D492EF3" w14:textId="77777777" w:rsid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06B61455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1F939A33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0E2D82">
        <w:rPr>
          <w:rFonts w:ascii="gobCL" w:hAnsi="gobCL" w:cs="Arial"/>
          <w:b/>
          <w:spacing w:val="-8"/>
          <w:sz w:val="22"/>
          <w:szCs w:val="22"/>
        </w:rPr>
        <w:t>¿Cuándo se vacunará?</w:t>
      </w:r>
    </w:p>
    <w:p w14:paraId="7C8F52EB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El día </w:t>
      </w:r>
      <w:r w:rsidRPr="000E2D82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</w:t>
      </w: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de  </w:t>
      </w:r>
      <w:r w:rsidRPr="000E2D82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            </w:t>
      </w: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 del año 2025, se realizará la vacunación a los/las escolares de 5° año básico.</w:t>
      </w:r>
    </w:p>
    <w:p w14:paraId="216CEAA6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6A729DB8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Si su hijo/a no asiste a un establecimiento educacional o por alguna razón no recibió la vacuna, puede acudir a alguno de los vacunatorios públicos y privados en convenio con las SEREMI de Salud del país.</w:t>
      </w:r>
    </w:p>
    <w:p w14:paraId="4A199D9F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53C0A751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/>
          <w:spacing w:val="-8"/>
          <w:sz w:val="22"/>
          <w:szCs w:val="22"/>
        </w:rPr>
      </w:pPr>
      <w:r w:rsidRPr="000E2D82">
        <w:rPr>
          <w:rFonts w:ascii="gobCL" w:hAnsi="gobCL" w:cs="Arial"/>
          <w:b/>
          <w:spacing w:val="-8"/>
          <w:sz w:val="22"/>
          <w:szCs w:val="22"/>
        </w:rPr>
        <w:t>¿Qué establecimiento de salud es el responsable de la vacunación?</w:t>
      </w:r>
    </w:p>
    <w:p w14:paraId="20DF9E00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>Equipo de vacunación del CESFAM</w:t>
      </w:r>
      <w:r w:rsidRPr="000E2D82">
        <w:rPr>
          <w:rFonts w:ascii="gobCL" w:hAnsi="gobCL" w:cs="Arial"/>
          <w:bCs/>
          <w:spacing w:val="-8"/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</w:t>
      </w:r>
      <w:proofErr w:type="gramStart"/>
      <w:r w:rsidRPr="000E2D82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</w:t>
      </w:r>
      <w:r w:rsidRPr="000E2D82">
        <w:rPr>
          <w:rFonts w:ascii="gobCL" w:hAnsi="gobCL" w:cs="Arial"/>
          <w:bCs/>
          <w:spacing w:val="-8"/>
          <w:sz w:val="22"/>
          <w:szCs w:val="22"/>
        </w:rPr>
        <w:t>.</w:t>
      </w:r>
      <w:proofErr w:type="gramEnd"/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  </w:t>
      </w:r>
    </w:p>
    <w:p w14:paraId="3DBD3C18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1FB7333F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  <w:r w:rsidRPr="000E2D82">
        <w:rPr>
          <w:rFonts w:ascii="gobCL" w:hAnsi="gobCL" w:cs="Arial"/>
          <w:bCs/>
          <w:spacing w:val="-8"/>
          <w:sz w:val="22"/>
          <w:szCs w:val="22"/>
        </w:rPr>
        <w:t xml:space="preserve">Fecha:  </w:t>
      </w:r>
      <w:r w:rsidRPr="000E2D82">
        <w:rPr>
          <w:rFonts w:ascii="gobCL" w:hAnsi="gobCL" w:cs="Arial"/>
          <w:bCs/>
          <w:spacing w:val="-8"/>
          <w:sz w:val="22"/>
          <w:szCs w:val="22"/>
          <w:u w:val="single"/>
        </w:rPr>
        <w:tab/>
        <w:t xml:space="preserve">                      </w:t>
      </w:r>
      <w:r w:rsidRPr="000E2D82">
        <w:rPr>
          <w:rFonts w:ascii="gobCL" w:hAnsi="gobCL" w:cs="Arial"/>
          <w:bCs/>
          <w:spacing w:val="-8"/>
          <w:sz w:val="22"/>
          <w:szCs w:val="22"/>
        </w:rPr>
        <w:t>de</w:t>
      </w:r>
      <w:r w:rsidRPr="000E2D82">
        <w:rPr>
          <w:rFonts w:ascii="gobCL" w:hAnsi="gobCL" w:cs="Arial"/>
          <w:bCs/>
          <w:spacing w:val="-8"/>
          <w:sz w:val="22"/>
          <w:szCs w:val="22"/>
          <w:u w:val="single"/>
        </w:rPr>
        <w:t xml:space="preserve">                                        </w:t>
      </w:r>
      <w:r w:rsidRPr="000E2D82">
        <w:rPr>
          <w:rFonts w:ascii="gobCL" w:hAnsi="gobCL" w:cs="Arial"/>
          <w:bCs/>
          <w:spacing w:val="-8"/>
          <w:sz w:val="22"/>
          <w:szCs w:val="22"/>
        </w:rPr>
        <w:t>del año 2025.</w:t>
      </w:r>
    </w:p>
    <w:p w14:paraId="5235B926" w14:textId="77777777" w:rsidR="000E2D82" w:rsidRPr="000E2D82" w:rsidRDefault="000E2D82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p w14:paraId="2D3DC5B5" w14:textId="77777777" w:rsidR="004F45EC" w:rsidRPr="000E2D82" w:rsidRDefault="004F45EC" w:rsidP="000E2D82">
      <w:pPr>
        <w:pStyle w:val="Textoindependiente"/>
        <w:spacing w:line="264" w:lineRule="auto"/>
        <w:jc w:val="both"/>
        <w:rPr>
          <w:rFonts w:ascii="gobCL" w:hAnsi="gobCL" w:cs="Arial"/>
          <w:bCs/>
          <w:spacing w:val="-8"/>
          <w:sz w:val="22"/>
          <w:szCs w:val="22"/>
        </w:rPr>
      </w:pPr>
    </w:p>
    <w:sectPr w:rsidR="004F45EC" w:rsidRPr="000E2D82" w:rsidSect="00CC4FA4">
      <w:headerReference w:type="default" r:id="rId7"/>
      <w:footerReference w:type="default" r:id="rId8"/>
      <w:pgSz w:w="12240" w:h="15840"/>
      <w:pgMar w:top="1440" w:right="1080" w:bottom="424" w:left="1080" w:header="441" w:footer="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C581" w14:textId="77777777" w:rsidR="00304E4A" w:rsidRDefault="00304E4A">
      <w:r>
        <w:separator/>
      </w:r>
    </w:p>
  </w:endnote>
  <w:endnote w:type="continuationSeparator" w:id="0">
    <w:p w14:paraId="1301DB12" w14:textId="77777777" w:rsidR="00304E4A" w:rsidRDefault="0030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bCL"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C56" w14:textId="4393A176" w:rsidR="001C2061" w:rsidRDefault="0024279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B1415CC" wp14:editId="3536044D">
              <wp:simplePos x="0" y="0"/>
              <wp:positionH relativeFrom="page">
                <wp:posOffset>7282815</wp:posOffset>
              </wp:positionH>
              <wp:positionV relativeFrom="page">
                <wp:posOffset>9845804</wp:posOffset>
              </wp:positionV>
              <wp:extent cx="615950" cy="223520"/>
              <wp:effectExtent l="0" t="0" r="6350" b="508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5950" cy="223520"/>
                        <a:chOff x="0" y="0"/>
                        <a:chExt cx="615950" cy="223520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54000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223520">
                              <a:moveTo>
                                <a:pt x="253441" y="0"/>
                              </a:moveTo>
                              <a:lnTo>
                                <a:pt x="0" y="0"/>
                              </a:lnTo>
                              <a:lnTo>
                                <a:pt x="0" y="223202"/>
                              </a:lnTo>
                              <a:lnTo>
                                <a:pt x="253441" y="223202"/>
                              </a:lnTo>
                              <a:lnTo>
                                <a:pt x="253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253441" y="0"/>
                          <a:ext cx="36258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223520">
                              <a:moveTo>
                                <a:pt x="0" y="223202"/>
                              </a:moveTo>
                              <a:lnTo>
                                <a:pt x="0" y="0"/>
                              </a:lnTo>
                              <a:lnTo>
                                <a:pt x="361975" y="0"/>
                              </a:lnTo>
                              <a:lnTo>
                                <a:pt x="361975" y="223202"/>
                              </a:lnTo>
                              <a:lnTo>
                                <a:pt x="0" y="223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0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848CB8" id="Group 57" o:spid="_x0000_s1026" style="position:absolute;margin-left:573.45pt;margin-top:775.25pt;width:48.5pt;height:17.6pt;z-index:251658240;mso-wrap-distance-left:0;mso-wrap-distance-right:0;mso-position-horizontal-relative:page;mso-position-vertical-relative:page" coordsize="6159,2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">
              <v:shape id="Graphic 58" o:spid="_x0000_s1027" style="position:absolute;width:2540;height:2235;visibility:visible;mso-wrap-style:square;v-text-anchor:top" coordsize="254000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" path="m253441,l,,,223202r253441,l253441,xe" fillcolor="#006cb7" stroked="f">
                <v:path arrowok="t"/>
              </v:shape>
              <v:shape id="Graphic 59" o:spid="_x0000_s1028" style="position:absolute;left:2534;width:3626;height:2235;visibility:visible;mso-wrap-style:square;v-text-anchor:top" coordsize="362585,223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" path="m,223202l,,361975,r,223202l,223202xe" fillcolor="#ef4044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5D15" w14:textId="77777777" w:rsidR="00304E4A" w:rsidRDefault="00304E4A">
      <w:r>
        <w:separator/>
      </w:r>
    </w:p>
  </w:footnote>
  <w:footnote w:type="continuationSeparator" w:id="0">
    <w:p w14:paraId="4FF989F5" w14:textId="77777777" w:rsidR="00304E4A" w:rsidRDefault="0030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1C55" w14:textId="67DA7A53" w:rsidR="001C2061" w:rsidRDefault="0024279B">
    <w:pPr>
      <w:pStyle w:val="Textoindependiente"/>
      <w:spacing w:line="14" w:lineRule="auto"/>
      <w:rPr>
        <w:sz w:val="20"/>
      </w:rPr>
    </w:pPr>
    <w:r>
      <w:rPr>
        <w:rFonts w:ascii="Times New Roman"/>
        <w:noProof/>
        <w:sz w:val="8"/>
      </w:rPr>
      <w:drawing>
        <wp:anchor distT="0" distB="0" distL="0" distR="0" simplePos="0" relativeHeight="251656192" behindDoc="0" locked="0" layoutInCell="1" allowOverlap="1" wp14:anchorId="1E4C48C3" wp14:editId="11A60782">
          <wp:simplePos x="0" y="0"/>
          <wp:positionH relativeFrom="page">
            <wp:posOffset>685800</wp:posOffset>
          </wp:positionH>
          <wp:positionV relativeFrom="paragraph">
            <wp:posOffset>0</wp:posOffset>
          </wp:positionV>
          <wp:extent cx="666427" cy="596685"/>
          <wp:effectExtent l="0" t="0" r="0" b="635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427" cy="59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27"/>
    <w:multiLevelType w:val="hybridMultilevel"/>
    <w:tmpl w:val="B7A47F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F92"/>
    <w:multiLevelType w:val="hybridMultilevel"/>
    <w:tmpl w:val="1618D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4B9"/>
    <w:multiLevelType w:val="hybridMultilevel"/>
    <w:tmpl w:val="BA0AB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D90"/>
    <w:multiLevelType w:val="hybridMultilevel"/>
    <w:tmpl w:val="C76405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18E0"/>
    <w:multiLevelType w:val="hybridMultilevel"/>
    <w:tmpl w:val="FE6E5454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B37E4C"/>
    <w:multiLevelType w:val="hybridMultilevel"/>
    <w:tmpl w:val="09AAF8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704"/>
    <w:multiLevelType w:val="hybridMultilevel"/>
    <w:tmpl w:val="9C46B50E"/>
    <w:lvl w:ilvl="0" w:tplc="6EF66A22">
      <w:numFmt w:val="bullet"/>
      <w:lvlText w:val="•"/>
      <w:lvlJc w:val="left"/>
      <w:pPr>
        <w:ind w:left="1040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58595B"/>
        <w:spacing w:val="0"/>
        <w:w w:val="79"/>
        <w:sz w:val="24"/>
        <w:szCs w:val="24"/>
        <w:lang w:val="es-ES" w:eastAsia="en-US" w:bidi="ar-SA"/>
      </w:rPr>
    </w:lvl>
    <w:lvl w:ilvl="1" w:tplc="316EB416">
      <w:numFmt w:val="bullet"/>
      <w:lvlText w:val="•"/>
      <w:lvlJc w:val="left"/>
      <w:pPr>
        <w:ind w:left="2088" w:hanging="227"/>
      </w:pPr>
      <w:rPr>
        <w:rFonts w:hint="default"/>
        <w:lang w:val="es-ES" w:eastAsia="en-US" w:bidi="ar-SA"/>
      </w:rPr>
    </w:lvl>
    <w:lvl w:ilvl="2" w:tplc="4726F40E">
      <w:numFmt w:val="bullet"/>
      <w:lvlText w:val="•"/>
      <w:lvlJc w:val="left"/>
      <w:pPr>
        <w:ind w:left="3136" w:hanging="227"/>
      </w:pPr>
      <w:rPr>
        <w:rFonts w:hint="default"/>
        <w:lang w:val="es-ES" w:eastAsia="en-US" w:bidi="ar-SA"/>
      </w:rPr>
    </w:lvl>
    <w:lvl w:ilvl="3" w:tplc="64EABFE4">
      <w:numFmt w:val="bullet"/>
      <w:lvlText w:val="•"/>
      <w:lvlJc w:val="left"/>
      <w:pPr>
        <w:ind w:left="4184" w:hanging="227"/>
      </w:pPr>
      <w:rPr>
        <w:rFonts w:hint="default"/>
        <w:lang w:val="es-ES" w:eastAsia="en-US" w:bidi="ar-SA"/>
      </w:rPr>
    </w:lvl>
    <w:lvl w:ilvl="4" w:tplc="3E746108">
      <w:numFmt w:val="bullet"/>
      <w:lvlText w:val="•"/>
      <w:lvlJc w:val="left"/>
      <w:pPr>
        <w:ind w:left="5232" w:hanging="227"/>
      </w:pPr>
      <w:rPr>
        <w:rFonts w:hint="default"/>
        <w:lang w:val="es-ES" w:eastAsia="en-US" w:bidi="ar-SA"/>
      </w:rPr>
    </w:lvl>
    <w:lvl w:ilvl="5" w:tplc="EEF24B28">
      <w:numFmt w:val="bullet"/>
      <w:lvlText w:val="•"/>
      <w:lvlJc w:val="left"/>
      <w:pPr>
        <w:ind w:left="6280" w:hanging="227"/>
      </w:pPr>
      <w:rPr>
        <w:rFonts w:hint="default"/>
        <w:lang w:val="es-ES" w:eastAsia="en-US" w:bidi="ar-SA"/>
      </w:rPr>
    </w:lvl>
    <w:lvl w:ilvl="6" w:tplc="C3D2C66E">
      <w:numFmt w:val="bullet"/>
      <w:lvlText w:val="•"/>
      <w:lvlJc w:val="left"/>
      <w:pPr>
        <w:ind w:left="7328" w:hanging="227"/>
      </w:pPr>
      <w:rPr>
        <w:rFonts w:hint="default"/>
        <w:lang w:val="es-ES" w:eastAsia="en-US" w:bidi="ar-SA"/>
      </w:rPr>
    </w:lvl>
    <w:lvl w:ilvl="7" w:tplc="15BAEAD4">
      <w:numFmt w:val="bullet"/>
      <w:lvlText w:val="•"/>
      <w:lvlJc w:val="left"/>
      <w:pPr>
        <w:ind w:left="8376" w:hanging="227"/>
      </w:pPr>
      <w:rPr>
        <w:rFonts w:hint="default"/>
        <w:lang w:val="es-ES" w:eastAsia="en-US" w:bidi="ar-SA"/>
      </w:rPr>
    </w:lvl>
    <w:lvl w:ilvl="8" w:tplc="47D88AB0">
      <w:numFmt w:val="bullet"/>
      <w:lvlText w:val="•"/>
      <w:lvlJc w:val="left"/>
      <w:pPr>
        <w:ind w:left="9424" w:hanging="227"/>
      </w:pPr>
      <w:rPr>
        <w:rFonts w:hint="default"/>
        <w:lang w:val="es-ES" w:eastAsia="en-US" w:bidi="ar-SA"/>
      </w:rPr>
    </w:lvl>
  </w:abstractNum>
  <w:abstractNum w:abstractNumId="7" w15:restartNumberingAfterBreak="0">
    <w:nsid w:val="5D3B6571"/>
    <w:multiLevelType w:val="hybridMultilevel"/>
    <w:tmpl w:val="B9207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6D3"/>
    <w:multiLevelType w:val="hybridMultilevel"/>
    <w:tmpl w:val="42064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0C46"/>
    <w:multiLevelType w:val="hybridMultilevel"/>
    <w:tmpl w:val="30E8BD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299859">
    <w:abstractNumId w:val="6"/>
  </w:num>
  <w:num w:numId="2" w16cid:durableId="2007902797">
    <w:abstractNumId w:val="4"/>
  </w:num>
  <w:num w:numId="3" w16cid:durableId="1956710744">
    <w:abstractNumId w:val="5"/>
  </w:num>
  <w:num w:numId="4" w16cid:durableId="1633557161">
    <w:abstractNumId w:val="2"/>
  </w:num>
  <w:num w:numId="5" w16cid:durableId="672025911">
    <w:abstractNumId w:val="0"/>
  </w:num>
  <w:num w:numId="6" w16cid:durableId="1003556139">
    <w:abstractNumId w:val="7"/>
  </w:num>
  <w:num w:numId="7" w16cid:durableId="1080517238">
    <w:abstractNumId w:val="3"/>
  </w:num>
  <w:num w:numId="8" w16cid:durableId="273439623">
    <w:abstractNumId w:val="1"/>
  </w:num>
  <w:num w:numId="9" w16cid:durableId="1742479094">
    <w:abstractNumId w:val="9"/>
  </w:num>
  <w:num w:numId="10" w16cid:durableId="340933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1"/>
    <w:rsid w:val="00021FBC"/>
    <w:rsid w:val="0008126E"/>
    <w:rsid w:val="000E2D82"/>
    <w:rsid w:val="000E5DE6"/>
    <w:rsid w:val="0011318C"/>
    <w:rsid w:val="00122C5F"/>
    <w:rsid w:val="00134D92"/>
    <w:rsid w:val="00141918"/>
    <w:rsid w:val="001545EF"/>
    <w:rsid w:val="00175BEE"/>
    <w:rsid w:val="001A5E44"/>
    <w:rsid w:val="001C2061"/>
    <w:rsid w:val="001D31D8"/>
    <w:rsid w:val="0024279B"/>
    <w:rsid w:val="00266E6B"/>
    <w:rsid w:val="0029063A"/>
    <w:rsid w:val="002E0A5A"/>
    <w:rsid w:val="00304E4A"/>
    <w:rsid w:val="0031661D"/>
    <w:rsid w:val="00366FF4"/>
    <w:rsid w:val="003A064E"/>
    <w:rsid w:val="003A5B9C"/>
    <w:rsid w:val="00426D45"/>
    <w:rsid w:val="0043154E"/>
    <w:rsid w:val="004315FB"/>
    <w:rsid w:val="00454069"/>
    <w:rsid w:val="004602DA"/>
    <w:rsid w:val="004F45EC"/>
    <w:rsid w:val="00523384"/>
    <w:rsid w:val="00531CB6"/>
    <w:rsid w:val="00552983"/>
    <w:rsid w:val="0055646D"/>
    <w:rsid w:val="0056594B"/>
    <w:rsid w:val="005A48C9"/>
    <w:rsid w:val="0062401E"/>
    <w:rsid w:val="00635332"/>
    <w:rsid w:val="006C0CDD"/>
    <w:rsid w:val="006E4E55"/>
    <w:rsid w:val="00724134"/>
    <w:rsid w:val="0073497E"/>
    <w:rsid w:val="007B07EC"/>
    <w:rsid w:val="007E33A7"/>
    <w:rsid w:val="007F1343"/>
    <w:rsid w:val="00895B30"/>
    <w:rsid w:val="008A3DED"/>
    <w:rsid w:val="008B7220"/>
    <w:rsid w:val="008E6931"/>
    <w:rsid w:val="00901924"/>
    <w:rsid w:val="0090680F"/>
    <w:rsid w:val="00926F67"/>
    <w:rsid w:val="00937DB9"/>
    <w:rsid w:val="00954B43"/>
    <w:rsid w:val="009A3F98"/>
    <w:rsid w:val="009F2C79"/>
    <w:rsid w:val="00A123B1"/>
    <w:rsid w:val="00A5186A"/>
    <w:rsid w:val="00A62BE8"/>
    <w:rsid w:val="00A82B9D"/>
    <w:rsid w:val="00A862D3"/>
    <w:rsid w:val="00A95251"/>
    <w:rsid w:val="00AA0025"/>
    <w:rsid w:val="00AB4DE4"/>
    <w:rsid w:val="00AE1997"/>
    <w:rsid w:val="00B165E8"/>
    <w:rsid w:val="00B43AE0"/>
    <w:rsid w:val="00C27CC1"/>
    <w:rsid w:val="00C3613B"/>
    <w:rsid w:val="00C9619B"/>
    <w:rsid w:val="00CA4206"/>
    <w:rsid w:val="00CC4FA4"/>
    <w:rsid w:val="00CF5605"/>
    <w:rsid w:val="00D23ACB"/>
    <w:rsid w:val="00D43E81"/>
    <w:rsid w:val="00D45455"/>
    <w:rsid w:val="00D70AA2"/>
    <w:rsid w:val="00E2215C"/>
    <w:rsid w:val="00E23711"/>
    <w:rsid w:val="00EA1919"/>
    <w:rsid w:val="00EC767C"/>
    <w:rsid w:val="00EF668A"/>
    <w:rsid w:val="00F474A1"/>
    <w:rsid w:val="00F61717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11C1D"/>
  <w15:docId w15:val="{687B0267-883F-4F93-A60F-9D46880E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1"/>
      <w:ind w:left="3869" w:right="1295" w:hanging="1541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line="280" w:lineRule="exact"/>
      <w:ind w:left="1039" w:hanging="226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AB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2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98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983"/>
    <w:rPr>
      <w:rFonts w:ascii="Tahoma" w:eastAsia="Tahoma" w:hAnsi="Tahoma" w:cs="Tahoma"/>
      <w:lang w:val="es-ES"/>
    </w:rPr>
  </w:style>
  <w:style w:type="paragraph" w:customStyle="1" w:styleId="Default">
    <w:name w:val="Default"/>
    <w:rsid w:val="00C27CC1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Ignacio Saavedra</cp:lastModifiedBy>
  <cp:revision>2</cp:revision>
  <cp:lastPrinted>2025-06-23T14:48:00Z</cp:lastPrinted>
  <dcterms:created xsi:type="dcterms:W3CDTF">2025-06-25T18:23:00Z</dcterms:created>
  <dcterms:modified xsi:type="dcterms:W3CDTF">2025-06-25T18:23:00Z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17.0</vt:lpwstr>
  </property>
</Properties>
</file>